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jc w:val="both"/>
        <w:rPr>
          <w:rFonts w:ascii="Arial" w:hAnsi="Arial" w:eastAsia="宋体"/>
          <w:b/>
          <w:lang w:eastAsia="ja-JP"/>
        </w:rPr>
      </w:pPr>
      <w:bookmarkStart w:id="0" w:name="OLE_LINK25"/>
      <w:bookmarkStart w:id="1" w:name="OLE_LINK24"/>
      <w:bookmarkStart w:id="2" w:name="OLE_LINK12"/>
      <w:bookmarkStart w:id="3" w:name="OLE_LINK13"/>
      <w:bookmarkStart w:id="4" w:name="OLE_LINK34"/>
      <w:bookmarkStart w:id="5" w:name="OLE_LINK33"/>
      <w:bookmarkStart w:id="10" w:name="_GoBack"/>
      <w:r>
        <w:rPr>
          <w:rFonts w:hint="eastAsia" w:ascii="Arial" w:hAnsi="Arial" w:eastAsia="宋体"/>
          <w:b/>
          <w:lang w:eastAsia="ja-JP"/>
        </w:rPr>
        <w:t>3GPP TSG RAN WG1 #</w:t>
      </w:r>
      <w:r>
        <w:rPr>
          <w:rFonts w:hint="eastAsia" w:ascii="Arial" w:hAnsi="Arial" w:eastAsia="宋体"/>
          <w:b/>
        </w:rPr>
        <w:t xml:space="preserve">107-e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R1-2110958</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w:t>
      </w:r>
      <w:r>
        <w:rPr>
          <w:rFonts w:hint="eastAsia" w:ascii="Arial" w:hAnsi="Arial" w:cs="Arial"/>
          <w:b/>
        </w:rPr>
        <w:t xml:space="preserve"> November 11</w:t>
      </w:r>
      <w:r>
        <w:rPr>
          <w:rFonts w:hint="eastAsia" w:ascii="Arial" w:hAnsi="Arial" w:cs="Arial"/>
          <w:b/>
          <w:vertAlign w:val="superscript"/>
        </w:rPr>
        <w:t>th</w:t>
      </w:r>
      <w:r>
        <w:rPr>
          <w:rFonts w:hint="eastAsia" w:ascii="Arial" w:hAnsi="Arial" w:cs="Arial"/>
          <w:b/>
        </w:rPr>
        <w:t xml:space="preserve"> - 19</w:t>
      </w:r>
      <w:r>
        <w:rPr>
          <w:rFonts w:hint="eastAsia" w:ascii="Arial" w:hAnsi="Arial" w:cs="Arial"/>
          <w:b/>
          <w:vertAlign w:val="superscript"/>
        </w:rPr>
        <w:t>th</w:t>
      </w:r>
      <w:r>
        <w:rPr>
          <w:rFonts w:hint="eastAsia" w:ascii="Arial" w:hAnsi="Arial" w:cs="Arial"/>
          <w:b/>
        </w:rPr>
        <w:t>, 2021</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Title:            Accuracy improvement for DL-AoD positioning solutions</w:t>
      </w:r>
      <w:bookmarkEnd w:id="1"/>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8.5.3</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According to the agreed WID [1], a number of agreements have been approved to improve positioning accuracy for DL-AOD method over the past several meetings [2]. In this contribution, some remaining issues and other promising approaches for accuracy improvements of DL-AOD are analyzed and proposed. The following issues are to be discussed in the remaining sections,</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Issue#1: Information related to the first arriving path</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Issue#2: Support of AOD measurements with an expected uncertainty window</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Issue#3: Angle calculation enhancement for DL-AOD</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Issue#4: Enhancement on DL PRS Rx beam index</w:t>
      </w:r>
    </w:p>
    <w:p>
      <w:pPr>
        <w:numPr>
          <w:ilvl w:val="0"/>
          <w:numId w:val="2"/>
        </w:num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Issue#5: Two-stage PRS beam sweeping</w:t>
      </w:r>
    </w:p>
    <w:p>
      <w:pPr>
        <w:pStyle w:val="2"/>
        <w:snapToGrid w:val="0"/>
        <w:spacing w:before="120" w:after="180" w:afterLines="50"/>
        <w:ind w:left="431" w:hanging="431"/>
        <w:jc w:val="both"/>
        <w:rPr>
          <w:sz w:val="28"/>
          <w:lang w:val="en-US"/>
        </w:rPr>
      </w:pPr>
      <w:r>
        <w:rPr>
          <w:rFonts w:hint="eastAsia"/>
          <w:sz w:val="28"/>
          <w:lang w:val="en-US"/>
        </w:rPr>
        <w:t xml:space="preserve">Issue#1: </w:t>
      </w:r>
      <w:r>
        <w:rPr>
          <w:sz w:val="28"/>
          <w:lang w:val="en-GB"/>
        </w:rPr>
        <w:t>Information</w:t>
      </w:r>
      <w:r>
        <w:rPr>
          <w:rFonts w:hint="eastAsia"/>
          <w:sz w:val="28"/>
          <w:lang w:val="en-GB"/>
        </w:rPr>
        <w:t xml:space="preserve"> related to the first arriving path</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before="180" w:beforeLines="50" w:after="180" w:afterLines="50" w:line="240" w:lineRule="auto"/>
              <w:rPr>
                <w:rFonts w:ascii="Times" w:hAnsi="Times" w:eastAsia="Batang"/>
                <w:b/>
                <w:bCs/>
                <w:iCs/>
                <w:sz w:val="20"/>
                <w:szCs w:val="24"/>
                <w:u w:val="single"/>
                <w:lang w:val="en-GB" w:eastAsia="en-US"/>
              </w:rPr>
            </w:pPr>
            <w:r>
              <w:rPr>
                <w:rFonts w:ascii="Times" w:hAnsi="Times" w:eastAsia="Batang"/>
                <w:b/>
                <w:bCs/>
                <w:iCs/>
                <w:sz w:val="20"/>
                <w:szCs w:val="24"/>
                <w:u w:val="single"/>
                <w:lang w:val="en-GB" w:eastAsia="en-US"/>
              </w:rPr>
              <w:t>Agreement:</w:t>
            </w:r>
          </w:p>
          <w:p>
            <w:p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The measured path DL PRS RSRP for i</w:t>
            </w:r>
            <w:r>
              <w:rPr>
                <w:rFonts w:ascii="Times" w:hAnsi="Times" w:eastAsia="Batang" w:cs="Times"/>
                <w:iCs/>
                <w:sz w:val="20"/>
                <w:szCs w:val="24"/>
                <w:vertAlign w:val="superscript"/>
                <w:lang w:val="en-GB" w:eastAsia="en-US"/>
              </w:rPr>
              <w:t>th</w:t>
            </w:r>
            <w:r>
              <w:rPr>
                <w:rFonts w:ascii="Times" w:hAnsi="Times" w:eastAsia="Batang" w:cs="Times"/>
                <w:iCs/>
                <w:sz w:val="20"/>
                <w:szCs w:val="24"/>
                <w:lang w:val="en-GB" w:eastAsia="en-US"/>
              </w:rPr>
              <w:t xml:space="preserve"> path delay is defined as the power of the received DL PRS signal configured for the measurement at the i</w:t>
            </w:r>
            <w:r>
              <w:rPr>
                <w:rFonts w:ascii="Times" w:hAnsi="Times" w:eastAsia="Batang" w:cs="Times"/>
                <w:iCs/>
                <w:sz w:val="20"/>
                <w:szCs w:val="24"/>
                <w:vertAlign w:val="superscript"/>
                <w:lang w:val="en-GB" w:eastAsia="en-US"/>
              </w:rPr>
              <w:t>th</w:t>
            </w:r>
            <w:r>
              <w:rPr>
                <w:rFonts w:ascii="Times" w:hAnsi="Times" w:eastAsia="Batang" w:cs="Times"/>
                <w:iCs/>
                <w:sz w:val="20"/>
                <w:szCs w:val="24"/>
                <w:lang w:val="en-GB" w:eastAsia="en-US"/>
              </w:rPr>
              <w:t xml:space="preserve"> path delay of the channel response, and</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path DL PRS RSRP for 1</w:t>
            </w:r>
            <w:r>
              <w:rPr>
                <w:rFonts w:ascii="Times" w:hAnsi="Times" w:eastAsia="Batang" w:cs="Times"/>
                <w:iCs/>
                <w:sz w:val="20"/>
                <w:szCs w:val="24"/>
                <w:vertAlign w:val="superscript"/>
                <w:lang w:val="en-GB" w:eastAsia="en-US"/>
              </w:rPr>
              <w:t>st</w:t>
            </w:r>
            <w:r>
              <w:rPr>
                <w:rFonts w:ascii="Times" w:hAnsi="Times" w:eastAsia="Batang" w:cs="Times"/>
                <w:iCs/>
                <w:sz w:val="20"/>
                <w:szCs w:val="24"/>
                <w:lang w:val="en-GB" w:eastAsia="en-US"/>
              </w:rPr>
              <w:t xml:space="preserve"> path delay is the power corresponding to the first detected path </w:t>
            </w:r>
          </w:p>
          <w:p>
            <w:pPr>
              <w:numPr>
                <w:ilvl w:val="0"/>
                <w:numId w:val="3"/>
              </w:numPr>
              <w:spacing w:before="180" w:beforeLines="50" w:after="180" w:afterLines="50" w:line="240" w:lineRule="auto"/>
              <w:rPr>
                <w:rFonts w:ascii="Times" w:hAnsi="Times" w:eastAsia="Batang" w:cs="Times"/>
                <w:iCs/>
                <w:sz w:val="20"/>
                <w:szCs w:val="24"/>
                <w:highlight w:val="lightGray"/>
                <w:lang w:val="en-GB" w:eastAsia="en-US"/>
              </w:rPr>
            </w:pPr>
            <w:r>
              <w:rPr>
                <w:rFonts w:ascii="Times" w:hAnsi="Times" w:eastAsia="Batang" w:cs="Times"/>
                <w:iCs/>
                <w:sz w:val="20"/>
                <w:szCs w:val="24"/>
                <w:highlight w:val="lightGray"/>
                <w:lang w:val="en-GB" w:eastAsia="en-US"/>
              </w:rPr>
              <w:t xml:space="preserve">FFS: Whether the path RSRP measurement is normalized with PRS RSRP. </w:t>
            </w:r>
          </w:p>
          <w:p>
            <w:pPr>
              <w:numPr>
                <w:ilvl w:val="0"/>
                <w:numId w:val="3"/>
              </w:numPr>
              <w:spacing w:before="180" w:beforeLines="50" w:after="180" w:afterLines="50" w:line="240" w:lineRule="auto"/>
              <w:rPr>
                <w:rFonts w:ascii="Times" w:hAnsi="Times" w:eastAsia="Batang" w:cs="Times"/>
                <w:iCs/>
                <w:sz w:val="20"/>
                <w:szCs w:val="24"/>
                <w:highlight w:val="lightGray"/>
                <w:lang w:val="en-GB" w:eastAsia="en-US"/>
              </w:rPr>
            </w:pPr>
            <w:bookmarkStart w:id="6" w:name="OLE_LINK3"/>
            <w:r>
              <w:rPr>
                <w:rFonts w:ascii="Times" w:hAnsi="Times" w:eastAsia="Batang" w:cs="Times"/>
                <w:iCs/>
                <w:sz w:val="20"/>
                <w:szCs w:val="24"/>
                <w:highlight w:val="lightGray"/>
                <w:lang w:val="en-GB" w:eastAsia="en-US"/>
              </w:rPr>
              <w:t>FFS: Whether the definition of the i</w:t>
            </w:r>
            <w:r>
              <w:rPr>
                <w:rFonts w:ascii="Times" w:hAnsi="Times" w:eastAsia="Batang" w:cs="Times"/>
                <w:iCs/>
                <w:sz w:val="20"/>
                <w:szCs w:val="24"/>
                <w:highlight w:val="lightGray"/>
                <w:vertAlign w:val="superscript"/>
                <w:lang w:val="en-GB" w:eastAsia="en-US"/>
              </w:rPr>
              <w:t>th</w:t>
            </w:r>
            <w:r>
              <w:rPr>
                <w:rFonts w:ascii="Times" w:hAnsi="Times" w:eastAsia="Batang" w:cs="Times"/>
                <w:iCs/>
                <w:sz w:val="20"/>
                <w:szCs w:val="24"/>
                <w:highlight w:val="lightGray"/>
                <w:lang w:val="en-GB" w:eastAsia="en-US"/>
              </w:rPr>
              <w:t xml:space="preserve"> path delay (other than i=1) is required. </w:t>
            </w:r>
          </w:p>
          <w:bookmarkEnd w:id="6"/>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Note: UE may choose to use a time window to compute path DL PRS RSRP by UE implementation (there is no impact to specifications managed by RAN1 for this)</w:t>
            </w:r>
          </w:p>
          <w:p>
            <w:pPr>
              <w:numPr>
                <w:ilvl w:val="0"/>
                <w:numId w:val="3"/>
              </w:numPr>
              <w:spacing w:before="180" w:beforeLines="50" w:after="180" w:afterLines="50" w:line="240" w:lineRule="auto"/>
              <w:rPr>
                <w:rFonts w:ascii="Times" w:hAnsi="Times" w:eastAsia="Batang" w:cs="Times"/>
                <w:iCs/>
                <w:sz w:val="20"/>
                <w:szCs w:val="24"/>
                <w:lang w:val="en-GB" w:eastAsia="en-US"/>
              </w:rPr>
            </w:pPr>
            <w:r>
              <w:rPr>
                <w:rFonts w:ascii="Times" w:hAnsi="Times" w:eastAsia="Batang" w:cs="Times"/>
                <w:iCs/>
                <w:sz w:val="20"/>
                <w:szCs w:val="24"/>
                <w:lang w:val="en-GB" w:eastAsia="en-US"/>
              </w:rPr>
              <w:t>Note: This does not imply that the path delay has to be reported in DL-AoD positioning</w:t>
            </w:r>
          </w:p>
          <w:p>
            <w:pPr>
              <w:numPr>
                <w:ilvl w:val="0"/>
                <w:numId w:val="3"/>
              </w:numPr>
              <w:spacing w:before="180" w:beforeLines="50" w:after="180" w:afterLines="50" w:line="240" w:lineRule="auto"/>
              <w:rPr>
                <w:rFonts w:ascii="Times New Roman" w:hAnsi="Times New Roman"/>
                <w:sz w:val="20"/>
                <w:szCs w:val="20"/>
              </w:rPr>
            </w:pPr>
            <w:r>
              <w:rPr>
                <w:rFonts w:ascii="Times" w:hAnsi="Times" w:eastAsia="Batang" w:cs="Times"/>
                <w:iCs/>
                <w:sz w:val="20"/>
                <w:szCs w:val="24"/>
                <w:lang w:val="en-GB" w:eastAsia="en-US"/>
              </w:rPr>
              <w:t>Send LS to RAN4 to check the details of the definition and feedback if they identify any update is necessary</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In last meeting</w:t>
      </w:r>
      <w:r>
        <w:rPr>
          <w:rFonts w:ascii="Times New Roman" w:hAnsi="Times New Roman" w:eastAsia="宋体"/>
          <w:sz w:val="20"/>
          <w:szCs w:val="20"/>
        </w:rPr>
        <w:t>,</w:t>
      </w:r>
      <w:r>
        <w:rPr>
          <w:rFonts w:hint="eastAsia" w:ascii="Times New Roman" w:hAnsi="Times New Roman" w:eastAsia="宋体"/>
          <w:sz w:val="20"/>
          <w:szCs w:val="20"/>
        </w:rPr>
        <w:t xml:space="preserve"> we have made above agreement to define the path DL PRS RSRP. We provide our views on some remaining questions for the path DL PRS RSRP.</w:t>
      </w:r>
    </w:p>
    <w:p>
      <w:pPr>
        <w:pStyle w:val="96"/>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Question#1: Whether the </w:t>
      </w:r>
      <w:r>
        <w:rPr>
          <w:rFonts w:hint="eastAsia" w:ascii="Times" w:hAnsi="Times" w:eastAsia="宋体"/>
          <w:sz w:val="20"/>
        </w:rPr>
        <w:t xml:space="preserve">path </w:t>
      </w:r>
      <w:r>
        <w:rPr>
          <w:rFonts w:hint="eastAsia" w:ascii="Times New Roman" w:hAnsi="Times New Roman" w:eastAsia="宋体"/>
          <w:sz w:val="20"/>
          <w:szCs w:val="20"/>
        </w:rPr>
        <w:t>RSRP measurement is normalized with PRS RSRP</w:t>
      </w:r>
    </w:p>
    <w:p>
      <w:pPr>
        <w:pStyle w:val="96"/>
        <w:numPr>
          <w:ilvl w:val="0"/>
          <w:numId w:val="4"/>
        </w:numPr>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Question #2: Whether the definition of the i</w:t>
      </w:r>
      <w:r>
        <w:rPr>
          <w:rFonts w:hint="eastAsia" w:ascii="Times New Roman" w:hAnsi="Times New Roman" w:eastAsia="宋体"/>
          <w:sz w:val="20"/>
          <w:szCs w:val="20"/>
          <w:vertAlign w:val="superscript"/>
        </w:rPr>
        <w:t xml:space="preserve">th </w:t>
      </w:r>
      <w:r>
        <w:rPr>
          <w:rFonts w:hint="eastAsia" w:ascii="Times New Roman" w:hAnsi="Times New Roman" w:eastAsia="宋体"/>
          <w:sz w:val="20"/>
          <w:szCs w:val="20"/>
        </w:rPr>
        <w:t xml:space="preserve">path delay (other than i=1) is required.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Question#1, </w:t>
      </w:r>
      <w:r>
        <w:rPr>
          <w:rFonts w:ascii="Times New Roman" w:hAnsi="Times New Roman" w:eastAsia="宋体"/>
          <w:sz w:val="20"/>
          <w:szCs w:val="20"/>
        </w:rPr>
        <w:t>w</w:t>
      </w:r>
      <w:r>
        <w:rPr>
          <w:rFonts w:hint="eastAsia" w:ascii="Times New Roman" w:hAnsi="Times New Roman" w:eastAsia="宋体"/>
          <w:sz w:val="20"/>
          <w:szCs w:val="20"/>
        </w:rPr>
        <w:t>e think the path PRS RSRP of a DL PRS resource should be reported relative to the corresponding DL PRS-RSRP. The path PRS RSRP was proposed to address the case when the DL PRS-RSRP cannot reflect the power variations between different DL PRS resources in a specific angle because of the power contributions from NLOS paths. However, if the DL PRS-RSRP and path PRS RSRP are both reported, which could be used for LOS identification. For example, the Rician K-factor is defined by a ratio between first path (or LOS path) and remaining paths, which can be derived from the DL PRS-RSRP and path PRS RSRP for first detected path.</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of a DL PRS resource is reported relative to the corresponding DL PRS-RSRP at least for first detected path.</w:t>
      </w:r>
    </w:p>
    <w:p>
      <w:pPr>
        <w:adjustRightInd w:val="0"/>
        <w:snapToGrid w:val="0"/>
        <w:spacing w:before="180" w:beforeLines="50" w:after="180" w:afterLines="50" w:line="240" w:lineRule="auto"/>
        <w:jc w:val="both"/>
        <w:rPr>
          <w:rFonts w:ascii="Times New Roman" w:hAnsi="Times New Roman"/>
          <w:sz w:val="20"/>
        </w:rPr>
      </w:pPr>
      <w:r>
        <w:rPr>
          <w:rFonts w:hint="eastAsia" w:ascii="Times New Roman" w:hAnsi="Times New Roman"/>
          <w:sz w:val="20"/>
          <w:szCs w:val="20"/>
        </w:rPr>
        <w:t>Regarding Question#2, according to the field descriptions in TS 37.355</w:t>
      </w:r>
      <w:r>
        <w:rPr>
          <w:rFonts w:ascii="Times New Roman" w:hAnsi="Times New Roman"/>
          <w:sz w:val="20"/>
          <w:szCs w:val="20"/>
        </w:rPr>
        <w:t xml:space="preserve"> as below</w:t>
      </w:r>
      <w:r>
        <w:rPr>
          <w:rFonts w:hint="eastAsia" w:ascii="Times New Roman" w:hAnsi="Times New Roman"/>
          <w:sz w:val="20"/>
          <w:szCs w:val="20"/>
        </w:rPr>
        <w:t xml:space="preserve">, the timings of additional paths are reported relative to the path timing used for determining </w:t>
      </w:r>
      <w:r>
        <w:rPr>
          <w:rFonts w:hint="eastAsia" w:ascii="Times New Roman" w:hAnsi="Times New Roman"/>
          <w:i/>
          <w:iCs/>
          <w:sz w:val="20"/>
          <w:szCs w:val="20"/>
        </w:rPr>
        <w:t>nr-RSTD</w:t>
      </w:r>
      <w:r>
        <w:rPr>
          <w:rFonts w:hint="eastAsia" w:ascii="Times New Roman" w:hAnsi="Times New Roman"/>
          <w:sz w:val="20"/>
          <w:szCs w:val="20"/>
        </w:rPr>
        <w:t xml:space="preserve"> value or </w:t>
      </w:r>
      <w:r>
        <w:rPr>
          <w:rFonts w:ascii="Times New Roman" w:hAnsi="Times New Roman"/>
          <w:i/>
          <w:sz w:val="20"/>
        </w:rPr>
        <w:t>nr-UE-RxTxTimeDiff</w:t>
      </w:r>
      <w:r>
        <w:rPr>
          <w:rFonts w:ascii="Times New Roman" w:hAnsi="Times New Roman"/>
          <w:sz w:val="20"/>
        </w:rPr>
        <w:t xml:space="preserve"> value</w:t>
      </w:r>
      <w:r>
        <w:rPr>
          <w:rFonts w:hint="eastAsia" w:ascii="Times New Roman" w:hAnsi="Times New Roman"/>
          <w:sz w:val="20"/>
        </w:rPr>
        <w:t>. Therefore, we don</w:t>
      </w:r>
      <w:r>
        <w:rPr>
          <w:rFonts w:ascii="Times New Roman" w:hAnsi="Times New Roman"/>
          <w:sz w:val="20"/>
        </w:rPr>
        <w:t>’</w:t>
      </w:r>
      <w:r>
        <w:rPr>
          <w:rFonts w:hint="eastAsia" w:ascii="Times New Roman" w:hAnsi="Times New Roman"/>
          <w:sz w:val="20"/>
        </w:rPr>
        <w:t>t see the need to have new definition for the timings of additional path. As for the path PRS RSRP for additional path, we think the above definition can be applied to both first arrival path and additional paths.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3"/>
              <w:keepNext w:val="0"/>
              <w:keepLines w:val="0"/>
              <w:widowControl w:val="0"/>
              <w:rPr>
                <w:rFonts w:ascii="Times New Roman" w:hAnsi="Times New Roman"/>
                <w:b/>
                <w:i/>
              </w:rPr>
            </w:pPr>
            <w:r>
              <w:rPr>
                <w:rFonts w:ascii="Times New Roman" w:hAnsi="Times New Roman"/>
                <w:b/>
                <w:i/>
              </w:rPr>
              <w:t>nr-AdditionalPathList (for DL-TDOA)</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rPr>
              <w:t xml:space="preserve">This field specifies one or more additional detected path timing values for the TRP or resource, relative to the path timing used for determining the </w:t>
            </w:r>
            <w:r>
              <w:rPr>
                <w:rFonts w:ascii="Times New Roman" w:hAnsi="Times New Roman"/>
                <w:i/>
                <w:sz w:val="20"/>
              </w:rPr>
              <w:t>nr-RSTD</w:t>
            </w:r>
            <w:r>
              <w:rPr>
                <w:rFonts w:ascii="Times New Roman" w:hAnsi="Times New Roman"/>
                <w:sz w:val="20"/>
              </w:rPr>
              <w:t xml:space="preserve"> value. If this field was requested but is not included, it means the UE did not detect any additional path timing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63"/>
              <w:keepNext w:val="0"/>
              <w:keepLines w:val="0"/>
              <w:widowControl w:val="0"/>
              <w:rPr>
                <w:rFonts w:ascii="Times New Roman" w:hAnsi="Times New Roman"/>
                <w:b/>
                <w:i/>
              </w:rPr>
            </w:pPr>
            <w:r>
              <w:rPr>
                <w:rFonts w:ascii="Times New Roman" w:hAnsi="Times New Roman"/>
                <w:b/>
                <w:i/>
              </w:rPr>
              <w:t>nr-AdditionalPathList (for Multi-RTT)</w:t>
            </w:r>
          </w:p>
          <w:p>
            <w:pPr>
              <w:adjustRightInd w:val="0"/>
              <w:snapToGrid w:val="0"/>
              <w:spacing w:before="180" w:beforeLines="50" w:after="180" w:afterLines="50" w:line="240" w:lineRule="auto"/>
              <w:jc w:val="both"/>
              <w:rPr>
                <w:rFonts w:ascii="Times New Roman" w:hAnsi="Times New Roman"/>
                <w:sz w:val="20"/>
              </w:rPr>
            </w:pPr>
            <w:r>
              <w:rPr>
                <w:rFonts w:ascii="Times New Roman" w:hAnsi="Times New Roman"/>
                <w:sz w:val="20"/>
              </w:rPr>
              <w:t xml:space="preserve">This field specifies one or more additional detected path timing values for the TRP or resource, relative to the path timing used for determining the </w:t>
            </w:r>
            <w:r>
              <w:rPr>
                <w:rFonts w:ascii="Times New Roman" w:hAnsi="Times New Roman"/>
                <w:i/>
                <w:sz w:val="20"/>
              </w:rPr>
              <w:t>nr-UE-RxTxTimeDiff</w:t>
            </w:r>
            <w:r>
              <w:rPr>
                <w:rFonts w:ascii="Times New Roman" w:hAnsi="Times New Roman"/>
                <w:sz w:val="20"/>
              </w:rPr>
              <w:t xml:space="preserve"> value. If this field was requested but is not included, it means the UE did not detect any additional path timing values.</w:t>
            </w:r>
          </w:p>
        </w:tc>
      </w:tr>
    </w:tbl>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There is no need to have new definition for the</w:t>
      </w:r>
      <w:r>
        <w:rPr>
          <w:rFonts w:hint="eastAsia" w:ascii="Times New Roman" w:hAnsi="Times New Roman" w:eastAsia="宋体"/>
          <w:i/>
          <w:iCs/>
          <w:sz w:val="20"/>
          <w:szCs w:val="20"/>
        </w:rPr>
        <w:t xml:space="preserve"> i</w:t>
      </w:r>
      <w:r>
        <w:rPr>
          <w:rFonts w:hint="eastAsia" w:ascii="Times New Roman" w:hAnsi="Times New Roman" w:eastAsia="宋体"/>
          <w:i/>
          <w:iCs/>
          <w:sz w:val="20"/>
          <w:szCs w:val="20"/>
          <w:vertAlign w:val="superscript"/>
        </w:rPr>
        <w:t xml:space="preserve">th </w:t>
      </w:r>
      <w:r>
        <w:rPr>
          <w:rFonts w:hint="eastAsia" w:ascii="Times New Roman" w:hAnsi="Times New Roman" w:eastAsia="宋体"/>
          <w:i/>
          <w:iCs/>
          <w:sz w:val="20"/>
          <w:szCs w:val="20"/>
        </w:rPr>
        <w:t>path delay since the field descriptions in TS 37.355 have already specified how to report timings of additional paths.</w:t>
      </w:r>
    </w:p>
    <w:p>
      <w:pPr>
        <w:pStyle w:val="2"/>
        <w:rPr>
          <w:lang w:val="en-US"/>
        </w:rPr>
      </w:pPr>
      <w:r>
        <w:rPr>
          <w:rFonts w:hint="eastAsia"/>
          <w:lang w:val="en-US"/>
        </w:rPr>
        <w:t>Issue#2: Expected DL-AoD/ZoD</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after="0" w:line="240" w:lineRule="auto"/>
              <w:rPr>
                <w:rFonts w:ascii="Times New Roman" w:hAnsi="Times New Roman" w:eastAsia="Batang"/>
                <w:b/>
                <w:sz w:val="20"/>
                <w:szCs w:val="20"/>
                <w:u w:val="single"/>
              </w:rPr>
            </w:pPr>
            <w:r>
              <w:rPr>
                <w:rFonts w:ascii="Times New Roman" w:hAnsi="Times New Roman" w:eastAsia="宋体"/>
                <w:b/>
                <w:sz w:val="20"/>
                <w:szCs w:val="20"/>
                <w:u w:val="single"/>
              </w:rPr>
              <w:t>Proposal</w:t>
            </w:r>
            <w:r>
              <w:rPr>
                <w:rFonts w:ascii="Times New Roman" w:hAnsi="Times New Roman" w:eastAsia="Batang"/>
                <w:b/>
                <w:sz w:val="20"/>
                <w:szCs w:val="20"/>
                <w:u w:val="single"/>
              </w:rPr>
              <w:t>:</w:t>
            </w:r>
          </w:p>
          <w:p>
            <w:pPr>
              <w:spacing w:after="0" w:line="240" w:lineRule="auto"/>
              <w:rPr>
                <w:rFonts w:ascii="Times New Roman" w:hAnsi="Times New Roman" w:eastAsia="Batang"/>
                <w:iCs/>
                <w:sz w:val="20"/>
                <w:szCs w:val="24"/>
                <w:lang w:eastAsia="en-US"/>
              </w:rPr>
            </w:pPr>
            <w:r>
              <w:rPr>
                <w:rFonts w:ascii="Times New Roman" w:hAnsi="Times New Roman" w:eastAsia="Batang"/>
                <w:iCs/>
                <w:sz w:val="20"/>
                <w:szCs w:val="24"/>
                <w:lang w:eastAsia="en-US"/>
              </w:rPr>
              <w:t xml:space="preserve">For the purpose of both UE-B and UE-A DL-AoD, and with regards to the support of AOD measurements with an expected uncertainty window, the following is supported </w:t>
            </w:r>
          </w:p>
          <w:p>
            <w:pPr>
              <w:numPr>
                <w:ilvl w:val="0"/>
                <w:numId w:val="5"/>
              </w:numPr>
              <w:spacing w:after="0" w:line="240" w:lineRule="auto"/>
              <w:rPr>
                <w:rFonts w:ascii="Times New Roman" w:hAnsi="Times New Roman" w:eastAsia="Batang"/>
                <w:iCs/>
                <w:sz w:val="20"/>
                <w:szCs w:val="24"/>
                <w:lang w:eastAsia="en-US"/>
              </w:rPr>
            </w:pPr>
            <w:r>
              <w:rPr>
                <w:rFonts w:ascii="Times New Roman" w:hAnsi="Times New Roman" w:eastAsia="Batang"/>
                <w:iCs/>
                <w:sz w:val="20"/>
                <w:szCs w:val="24"/>
                <w:lang w:eastAsia="en-US"/>
              </w:rPr>
              <w:t>Indication of expected DL-AoD/ZoD value and uncertainty (of the expected DL-AoD/ZoD value) range(s) is signaled by the LMF to the UE</w:t>
            </w:r>
          </w:p>
          <w:p>
            <w:pPr>
              <w:numPr>
                <w:ilvl w:val="2"/>
                <w:numId w:val="5"/>
              </w:numPr>
              <w:spacing w:after="0" w:line="240" w:lineRule="auto"/>
              <w:rPr>
                <w:rFonts w:ascii="Times New Roman" w:hAnsi="Times New Roman" w:eastAsia="Batang"/>
                <w:iCs/>
                <w:sz w:val="20"/>
                <w:szCs w:val="24"/>
                <w:lang w:eastAsia="en-US"/>
              </w:rPr>
            </w:pPr>
            <w:r>
              <w:rPr>
                <w:rFonts w:ascii="Times New Roman" w:hAnsi="Times New Roman" w:eastAsia="Batang"/>
                <w:iCs/>
                <w:sz w:val="20"/>
                <w:szCs w:val="24"/>
                <w:lang w:eastAsia="en-US"/>
              </w:rPr>
              <w:t>FFS: how to signal value and range:</w:t>
            </w:r>
          </w:p>
          <w:p>
            <w:pPr>
              <w:numPr>
                <w:ilvl w:val="3"/>
                <w:numId w:val="5"/>
              </w:numPr>
              <w:spacing w:after="0" w:line="240" w:lineRule="auto"/>
              <w:rPr>
                <w:rFonts w:ascii="Times New Roman" w:hAnsi="Times New Roman" w:eastAsia="Batang"/>
                <w:iCs/>
                <w:sz w:val="20"/>
                <w:szCs w:val="24"/>
                <w:lang w:eastAsia="en-US"/>
              </w:rPr>
            </w:pPr>
            <w:r>
              <w:rPr>
                <w:rFonts w:ascii="Times New Roman" w:hAnsi="Times New Roman" w:eastAsia="Batang"/>
                <w:iCs/>
                <w:sz w:val="20"/>
                <w:szCs w:val="24"/>
                <w:lang w:eastAsia="en-US"/>
              </w:rPr>
              <w:t>Option A: Single Expected DL-AoD/ZoD and uncertainty (of the expected DL-AoD/ZoD value) range(s) can be provided to the UE for each [TRP]</w:t>
            </w:r>
          </w:p>
          <w:p>
            <w:pPr>
              <w:numPr>
                <w:ilvl w:val="3"/>
                <w:numId w:val="5"/>
              </w:numPr>
              <w:spacing w:after="0" w:line="240" w:lineRule="auto"/>
              <w:rPr>
                <w:rFonts w:ascii="Times New Roman" w:hAnsi="Times New Roman" w:eastAsia="Batang"/>
                <w:iCs/>
                <w:sz w:val="20"/>
                <w:szCs w:val="24"/>
                <w:lang w:eastAsia="en-US"/>
              </w:rPr>
            </w:pPr>
            <w:r>
              <w:rPr>
                <w:rFonts w:ascii="Times New Roman" w:hAnsi="Times New Roman" w:eastAsia="Batang"/>
                <w:iCs/>
                <w:sz w:val="20"/>
                <w:szCs w:val="24"/>
                <w:lang w:eastAsia="en-US"/>
              </w:rPr>
              <w:t xml:space="preserve">Option B: a list of PRS indices corresponding to the uncertainty, with one PRS index identifying the expected value, if any. </w:t>
            </w:r>
          </w:p>
          <w:p>
            <w:pPr>
              <w:numPr>
                <w:ilvl w:val="0"/>
                <w:numId w:val="5"/>
              </w:numPr>
              <w:spacing w:line="259" w:lineRule="auto"/>
              <w:rPr>
                <w:rFonts w:ascii="Times New Roman" w:hAnsi="Times New Roman" w:eastAsia="Batang"/>
                <w:sz w:val="20"/>
                <w:szCs w:val="20"/>
                <w:lang w:val="en-GB" w:eastAsia="en-US"/>
              </w:rPr>
            </w:pPr>
            <w:r>
              <w:rPr>
                <w:rFonts w:ascii="Times New Roman" w:hAnsi="Times New Roman" w:eastAsia="Batang"/>
                <w:sz w:val="20"/>
                <w:szCs w:val="20"/>
                <w:lang w:val="en-GB" w:eastAsia="en-US"/>
              </w:rPr>
              <w:t>FFS: details of signaling</w:t>
            </w:r>
          </w:p>
          <w:p>
            <w:pPr>
              <w:numPr>
                <w:ilvl w:val="0"/>
                <w:numId w:val="5"/>
              </w:numPr>
              <w:spacing w:line="259" w:lineRule="auto"/>
              <w:rPr>
                <w:rFonts w:ascii="Times New Roman" w:hAnsi="Times New Roman"/>
                <w:sz w:val="20"/>
                <w:szCs w:val="20"/>
              </w:rPr>
            </w:pPr>
            <w:r>
              <w:rPr>
                <w:rFonts w:ascii="Times New Roman" w:hAnsi="Times New Roman" w:eastAsia="Batang"/>
                <w:sz w:val="20"/>
                <w:szCs w:val="20"/>
                <w:lang w:val="en-GB" w:eastAsia="en-US"/>
              </w:rPr>
              <w:t>FFS: Applicability to other Positioning methods</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 above proposal was discussed over GTW in RAN#106-e, which is to support DL-AOD measurements with an expected uncertainty window. Although the current specification </w:t>
      </w:r>
      <w:r>
        <w:rPr>
          <w:rFonts w:ascii="Times New Roman" w:hAnsi="Times New Roman"/>
          <w:sz w:val="20"/>
          <w:szCs w:val="20"/>
        </w:rPr>
        <w:t xml:space="preserve">has </w:t>
      </w:r>
      <w:r>
        <w:rPr>
          <w:rFonts w:hint="eastAsia" w:ascii="Times New Roman" w:hAnsi="Times New Roman"/>
          <w:sz w:val="20"/>
          <w:szCs w:val="20"/>
        </w:rPr>
        <w:t>support</w:t>
      </w:r>
      <w:r>
        <w:rPr>
          <w:rFonts w:ascii="Times New Roman" w:hAnsi="Times New Roman"/>
          <w:sz w:val="20"/>
          <w:szCs w:val="20"/>
        </w:rPr>
        <w:t>ed</w:t>
      </w:r>
      <w:r>
        <w:rPr>
          <w:rFonts w:hint="eastAsia" w:ascii="Times New Roman" w:hAnsi="Times New Roman"/>
          <w:sz w:val="20"/>
          <w:szCs w:val="20"/>
        </w:rPr>
        <w:t xml:space="preserve"> expected RSTD and RSTD uncertainty for DL measurement, it only assists UE to find the subframe boundary from different TRPs. In order to use priori spatial information maintained by LMF, the expected DL-AoD/ZoD and DL-AoD/ZoD uncertainty can also be defined for DL measurement, which can improve UE</w:t>
      </w:r>
      <w:r>
        <w:rPr>
          <w:rFonts w:ascii="Times New Roman" w:hAnsi="Times New Roman"/>
          <w:sz w:val="20"/>
          <w:szCs w:val="20"/>
        </w:rPr>
        <w:t>’</w:t>
      </w:r>
      <w:r>
        <w:rPr>
          <w:rFonts w:hint="eastAsia" w:ascii="Times New Roman" w:hAnsi="Times New Roman"/>
          <w:sz w:val="20"/>
          <w:szCs w:val="20"/>
        </w:rPr>
        <w:t>s power efficiency and reduce latency because UE doesn</w:t>
      </w:r>
      <w:r>
        <w:rPr>
          <w:rFonts w:ascii="Times New Roman" w:hAnsi="Times New Roman"/>
          <w:sz w:val="20"/>
          <w:szCs w:val="20"/>
        </w:rPr>
        <w:t>’</w:t>
      </w:r>
      <w:r>
        <w:rPr>
          <w:rFonts w:hint="eastAsia" w:ascii="Times New Roman" w:hAnsi="Times New Roman"/>
          <w:sz w:val="20"/>
          <w:szCs w:val="20"/>
        </w:rPr>
        <w:t xml:space="preserve">t need to measure the DL reference signals outside the angle range. </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Another pending issue is whether the single </w:t>
      </w:r>
      <w:r>
        <w:rPr>
          <w:rFonts w:ascii="Times New Roman" w:hAnsi="Times New Roman"/>
          <w:sz w:val="20"/>
          <w:szCs w:val="20"/>
        </w:rPr>
        <w:t>e</w:t>
      </w:r>
      <w:r>
        <w:rPr>
          <w:rFonts w:hint="eastAsia" w:ascii="Times New Roman" w:hAnsi="Times New Roman"/>
          <w:sz w:val="20"/>
          <w:szCs w:val="20"/>
        </w:rPr>
        <w:t xml:space="preserve">xpected DL-AoD/ZoD and uncertainty (of the expected DL-AoD/ZoD value) range(s) can be provided to the UE for each TRP. From our understanding, </w:t>
      </w:r>
      <w:r>
        <w:rPr>
          <w:rFonts w:ascii="Times New Roman" w:hAnsi="Times New Roman"/>
          <w:sz w:val="20"/>
          <w:szCs w:val="20"/>
        </w:rPr>
        <w:t>e</w:t>
      </w:r>
      <w:r>
        <w:rPr>
          <w:rFonts w:hint="eastAsia" w:ascii="Times New Roman" w:hAnsi="Times New Roman"/>
          <w:sz w:val="20"/>
          <w:szCs w:val="20"/>
        </w:rPr>
        <w:t xml:space="preserve">xpected DL-AoD/ZoD and uncertainty shall be different for DL PRS resources transmitted from different geographical coordinates. Rel-16 specification supports different DL PRS resources being transmitted through different antenna reference points (i.e. different geographical coordinates) from the same TRP. Therefore, DL PRS resources transmitted from a single antenna reference point (or geographical coordinate) are associated with a single value of </w:t>
      </w:r>
      <w:r>
        <w:rPr>
          <w:rFonts w:ascii="Times New Roman" w:hAnsi="Times New Roman"/>
          <w:sz w:val="20"/>
          <w:szCs w:val="20"/>
        </w:rPr>
        <w:t>e</w:t>
      </w:r>
      <w:r>
        <w:rPr>
          <w:rFonts w:hint="eastAsia" w:ascii="Times New Roman" w:hAnsi="Times New Roman"/>
          <w:sz w:val="20"/>
          <w:szCs w:val="20"/>
        </w:rPr>
        <w:t>xpected DL-AoD/ZoD and uncertainty (of the expected DL-AoD/ZoD value).</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3</w:t>
      </w:r>
      <w:r>
        <w:rPr>
          <w:rFonts w:ascii="Times" w:hAnsi="Times" w:eastAsia="宋体"/>
          <w:b/>
          <w:i/>
          <w:sz w:val="20"/>
        </w:rPr>
        <w:t>:</w:t>
      </w:r>
      <w:r>
        <w:rPr>
          <w:rFonts w:hint="eastAsia"/>
          <w:i/>
        </w:rPr>
        <w:t xml:space="preserve"> </w:t>
      </w:r>
      <w:r>
        <w:rPr>
          <w:rFonts w:ascii="Times" w:hAnsi="Times" w:eastAsia="宋体"/>
          <w:i/>
          <w:sz w:val="20"/>
        </w:rPr>
        <w:t>For the purpose of both UE-B and UE-A DL-AoD, support an expected uncertainty window</w:t>
      </w:r>
      <w:r>
        <w:rPr>
          <w:rFonts w:hint="eastAsia" w:ascii="Times" w:hAnsi="Times" w:eastAsia="宋体"/>
          <w:i/>
          <w:sz w:val="20"/>
        </w:rPr>
        <w:t xml:space="preserve"> as assistance data</w:t>
      </w:r>
      <w:r>
        <w:rPr>
          <w:rFonts w:ascii="Times" w:hAnsi="Times" w:eastAsia="宋体"/>
          <w:i/>
          <w:sz w:val="20"/>
        </w:rPr>
        <w:t>,</w:t>
      </w:r>
    </w:p>
    <w:p>
      <w:pPr>
        <w:pStyle w:val="96"/>
        <w:numPr>
          <w:ilvl w:val="0"/>
          <w:numId w:val="4"/>
        </w:numPr>
        <w:snapToGrid w:val="0"/>
        <w:spacing w:before="180" w:beforeLines="50" w:after="180" w:afterLines="50" w:line="240" w:lineRule="auto"/>
        <w:jc w:val="both"/>
        <w:rPr>
          <w:rFonts w:ascii="Times" w:hAnsi="Times" w:eastAsia="宋体"/>
          <w:i/>
          <w:sz w:val="20"/>
        </w:rPr>
      </w:pPr>
      <w:r>
        <w:rPr>
          <w:rFonts w:ascii="Times" w:hAnsi="Times" w:eastAsia="宋体"/>
          <w:i/>
          <w:sz w:val="20"/>
        </w:rPr>
        <w:t>Indication of expected DL-AoD/ZoD value and uncertainty (of the expected DL-AoD/ZoD value) range(s) is signaled by the LMF to the UE</w:t>
      </w:r>
    </w:p>
    <w:p>
      <w:pPr>
        <w:pStyle w:val="96"/>
        <w:numPr>
          <w:ilvl w:val="0"/>
          <w:numId w:val="6"/>
        </w:numPr>
        <w:snapToGrid w:val="0"/>
        <w:spacing w:before="180" w:beforeLines="50" w:after="180" w:afterLines="50" w:line="240" w:lineRule="auto"/>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numPr>
          <w:ilvl w:val="0"/>
          <w:numId w:val="4"/>
        </w:numPr>
        <w:snapToGrid w:val="0"/>
        <w:spacing w:before="180" w:beforeLines="50" w:after="180" w:afterLines="50" w:line="240" w:lineRule="auto"/>
        <w:jc w:val="both"/>
        <w:rPr>
          <w:rFonts w:ascii="Times" w:hAnsi="Times" w:eastAsia="宋体"/>
          <w:i/>
          <w:sz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pStyle w:val="2"/>
        <w:rPr>
          <w:lang w:val="en-US"/>
        </w:rPr>
      </w:pPr>
      <w:r>
        <w:rPr>
          <w:rFonts w:hint="eastAsia"/>
          <w:lang w:val="en-US"/>
        </w:rPr>
        <w:t>Issue#3: Angle calculation enhancement for DL-AoD</w:t>
      </w:r>
      <w:r>
        <w:rPr>
          <w:lang w:val="en-US"/>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before="180" w:beforeLines="50" w:after="1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w:t>
            </w:r>
            <w:r>
              <w:rPr>
                <w:rFonts w:hint="eastAsia" w:ascii="Times New Roman" w:hAnsi="Times New Roman" w:eastAsia="宋体"/>
                <w:b/>
                <w:bCs/>
                <w:sz w:val="20"/>
                <w:szCs w:val="20"/>
                <w:u w:val="single"/>
              </w:rPr>
              <w:t xml:space="preserve"> in RAN1#106-e</w:t>
            </w:r>
            <w:r>
              <w:rPr>
                <w:rFonts w:ascii="Times New Roman" w:hAnsi="Times New Roman" w:eastAsia="Batang"/>
                <w:b/>
                <w:bCs/>
                <w:sz w:val="20"/>
                <w:szCs w:val="20"/>
                <w:u w:val="single"/>
                <w:lang w:val="en-GB" w:eastAsia="en-US"/>
              </w:rPr>
              <w:t>:</w:t>
            </w:r>
          </w:p>
          <w:p>
            <w:pPr>
              <w:spacing w:after="0" w:line="240" w:lineRule="auto"/>
              <w:rPr>
                <w:rFonts w:ascii="Times New Roman" w:hAnsi="Times New Roman" w:eastAsia="Batang"/>
                <w:sz w:val="20"/>
                <w:szCs w:val="20"/>
                <w:lang w:eastAsia="en-US"/>
              </w:rPr>
            </w:pPr>
            <w:r>
              <w:rPr>
                <w:rFonts w:ascii="Times New Roman" w:hAnsi="Times New Roman" w:eastAsia="Batang"/>
                <w:sz w:val="20"/>
                <w:szCs w:val="20"/>
                <w:lang w:eastAsia="en-US"/>
              </w:rPr>
              <w:t>For the beam/antenna information to be optionally provided to the LMF by the gnodeB, decide to support one of the following options:</w:t>
            </w:r>
          </w:p>
          <w:p>
            <w:pPr>
              <w:numPr>
                <w:ilvl w:val="0"/>
                <w:numId w:val="7"/>
              </w:numPr>
              <w:spacing w:after="0" w:line="240" w:lineRule="auto"/>
              <w:rPr>
                <w:rFonts w:ascii="Times New Roman" w:hAnsi="Times New Roman" w:eastAsia="宋体"/>
                <w:sz w:val="20"/>
                <w:szCs w:val="20"/>
                <w:lang w:eastAsia="ja-JP"/>
              </w:rPr>
            </w:pPr>
            <w:r>
              <w:rPr>
                <w:rFonts w:ascii="Times New Roman" w:hAnsi="Times New Roman" w:eastAsia="宋体"/>
                <w:sz w:val="20"/>
                <w:szCs w:val="20"/>
                <w:lang w:eastAsia="ja-JP"/>
              </w:rPr>
              <w:t>Option 2.1: The gNB reports quantized version of the relative Power/Angle response per PRS resource per TRP</w:t>
            </w:r>
            <w:r>
              <w:rPr>
                <w:rFonts w:ascii="Times New Roman" w:hAnsi="Times New Roman" w:eastAsia="宋体"/>
                <w:sz w:val="20"/>
                <w:szCs w:val="20"/>
                <w:lang w:eastAsia="ja-JP"/>
              </w:rPr>
              <w:tab/>
            </w:r>
          </w:p>
          <w:p>
            <w:pPr>
              <w:numPr>
                <w:ilvl w:val="1"/>
                <w:numId w:val="7"/>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The relative power is defined with respect to the peak power of that resource</w:t>
            </w:r>
          </w:p>
          <w:p>
            <w:pPr>
              <w:numPr>
                <w:ilvl w:val="1"/>
                <w:numId w:val="7"/>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 xml:space="preserve">FFS: How many relative power levels can be included (e.g., single -3 dB power-levels, multiple power-levels, etc). </w:t>
            </w:r>
          </w:p>
          <w:p>
            <w:pPr>
              <w:numPr>
                <w:ilvl w:val="0"/>
                <w:numId w:val="7"/>
              </w:numPr>
              <w:spacing w:after="0" w:line="240" w:lineRule="auto"/>
              <w:rPr>
                <w:rFonts w:ascii="Times New Roman" w:hAnsi="Times New Roman" w:eastAsia="宋体"/>
                <w:sz w:val="20"/>
                <w:szCs w:val="20"/>
                <w:lang w:eastAsia="ja-JP"/>
              </w:rPr>
            </w:pPr>
            <w:r>
              <w:rPr>
                <w:rFonts w:ascii="Times New Roman" w:hAnsi="Times New Roman" w:eastAsia="宋体"/>
                <w:sz w:val="20"/>
                <w:szCs w:val="20"/>
                <w:lang w:eastAsia="ja-JP"/>
              </w:rPr>
              <w:t xml:space="preserve">Option 2.2: The gNB reports quantized version of the relative Power </w:t>
            </w:r>
            <w:r>
              <w:rPr>
                <w:rFonts w:ascii="Times New Roman" w:hAnsi="Times New Roman" w:eastAsia="宋体"/>
                <w:sz w:val="20"/>
                <w:szCs w:val="20"/>
                <w:u w:val="single"/>
                <w:lang w:eastAsia="ja-JP"/>
              </w:rPr>
              <w:t>between</w:t>
            </w:r>
            <w:r>
              <w:rPr>
                <w:rFonts w:ascii="Times New Roman" w:hAnsi="Times New Roman" w:eastAsia="宋体"/>
                <w:sz w:val="20"/>
                <w:szCs w:val="20"/>
                <w:lang w:eastAsia="ja-JP"/>
              </w:rPr>
              <w:t xml:space="preserve"> PRS resources per angle per TRP.</w:t>
            </w:r>
          </w:p>
          <w:p>
            <w:pPr>
              <w:numPr>
                <w:ilvl w:val="1"/>
                <w:numId w:val="7"/>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The relative power is defined with respect to the peak power in each angle</w:t>
            </w:r>
          </w:p>
          <w:p>
            <w:pPr>
              <w:numPr>
                <w:ilvl w:val="1"/>
                <w:numId w:val="7"/>
              </w:numPr>
              <w:spacing w:after="0" w:line="240" w:lineRule="auto"/>
              <w:rPr>
                <w:rFonts w:ascii="Times New Roman" w:hAnsi="Times New Roman" w:eastAsia="宋体"/>
                <w:sz w:val="20"/>
                <w:szCs w:val="20"/>
                <w:lang w:eastAsia="ja-JP"/>
              </w:rPr>
            </w:pPr>
            <w:r>
              <w:rPr>
                <w:rFonts w:ascii="Times New Roman" w:hAnsi="Times New Roman" w:eastAsia="Times New Roman"/>
                <w:sz w:val="20"/>
                <w:szCs w:val="20"/>
                <w:lang w:eastAsia="ja-JP"/>
              </w:rPr>
              <w:t>For each angle, at least two PRS resources are reported.</w:t>
            </w:r>
          </w:p>
          <w:p>
            <w:pPr>
              <w:numPr>
                <w:ilvl w:val="0"/>
                <w:numId w:val="7"/>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FFS: support of multiple levels of quantization</w:t>
            </w:r>
          </w:p>
          <w:p>
            <w:pPr>
              <w:numPr>
                <w:ilvl w:val="0"/>
                <w:numId w:val="7"/>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FFS: how the report is constructed</w:t>
            </w:r>
          </w:p>
          <w:p>
            <w:pPr>
              <w:numPr>
                <w:ilvl w:val="0"/>
                <w:numId w:val="7"/>
              </w:numPr>
              <w:spacing w:after="0" w:line="240" w:lineRule="auto"/>
              <w:contextualSpacing/>
              <w:rPr>
                <w:rFonts w:ascii="Times New Roman" w:hAnsi="Times New Roman" w:eastAsia="等线"/>
                <w:sz w:val="20"/>
                <w:szCs w:val="20"/>
                <w:lang w:eastAsia="ja-JP"/>
              </w:rPr>
            </w:pPr>
            <w:r>
              <w:rPr>
                <w:rFonts w:ascii="Times New Roman" w:hAnsi="Times New Roman" w:eastAsia="宋体"/>
                <w:sz w:val="20"/>
                <w:szCs w:val="20"/>
                <w:lang w:eastAsia="ja-JP"/>
              </w:rPr>
              <w:t>FFS: overhead reduction mechanisms, including reusing of associated-dl-PRS-ID as a way of signaling that 2 TRPs have the same beam information</w:t>
            </w:r>
          </w:p>
          <w:p>
            <w:pPr>
              <w:numPr>
                <w:ilvl w:val="0"/>
                <w:numId w:val="7"/>
              </w:numPr>
              <w:spacing w:after="0" w:line="240" w:lineRule="auto"/>
              <w:contextualSpacing/>
              <w:rPr>
                <w:rFonts w:ascii="Times New Roman" w:hAnsi="Times New Roman" w:eastAsia="等线"/>
                <w:sz w:val="20"/>
                <w:szCs w:val="20"/>
                <w:lang w:eastAsia="ja-JP"/>
              </w:rPr>
            </w:pPr>
            <w:r>
              <w:rPr>
                <w:rFonts w:ascii="Times New Roman" w:hAnsi="Times New Roman" w:eastAsia="宋体"/>
                <w:sz w:val="20"/>
                <w:szCs w:val="20"/>
                <w:lang w:eastAsia="ja-JP"/>
              </w:rPr>
              <w:t xml:space="preserve">The gNB beam/antenna information can optionally be provided to the UE by the LMF </w:t>
            </w:r>
          </w:p>
          <w:p>
            <w:pPr>
              <w:numPr>
                <w:ilvl w:val="0"/>
                <w:numId w:val="7"/>
              </w:numPr>
              <w:spacing w:after="0" w:line="240" w:lineRule="auto"/>
              <w:contextualSpacing/>
              <w:rPr>
                <w:rFonts w:ascii="Times New Roman" w:hAnsi="Times New Roman" w:eastAsia="宋体"/>
                <w:sz w:val="20"/>
                <w:szCs w:val="20"/>
                <w:lang w:eastAsia="ja-JP"/>
              </w:rPr>
            </w:pPr>
            <w:r>
              <w:rPr>
                <w:rFonts w:ascii="Times New Roman" w:hAnsi="Times New Roman" w:eastAsia="宋体"/>
                <w:sz w:val="20"/>
                <w:szCs w:val="20"/>
                <w:lang w:eastAsia="ja-JP"/>
              </w:rPr>
              <w:t>Note: Up to RAN2 &amp; RAN3 the signaling/procedures on how the LMF receives this information from the gNBs</w:t>
            </w:r>
          </w:p>
          <w:p>
            <w:pPr>
              <w:numPr>
                <w:ilvl w:val="0"/>
                <w:numId w:val="7"/>
              </w:numPr>
              <w:spacing w:after="0" w:line="240" w:lineRule="auto"/>
              <w:contextualSpacing/>
              <w:rPr>
                <w:rFonts w:ascii="Times New Roman" w:hAnsi="Times New Roman"/>
                <w:sz w:val="20"/>
                <w:szCs w:val="20"/>
              </w:rPr>
            </w:pPr>
            <w:r>
              <w:rPr>
                <w:rFonts w:ascii="Times New Roman" w:hAnsi="Times New Roman" w:eastAsia="宋体"/>
                <w:sz w:val="20"/>
                <w:szCs w:val="20"/>
                <w:lang w:eastAsia="ja-JP"/>
              </w:rPr>
              <w:t>Send an LS to RAN2 &amp; RAN3 with this agreement</w:t>
            </w:r>
          </w:p>
        </w:tc>
      </w:tr>
    </w:tbl>
    <w:p>
      <w:pPr>
        <w:snapToGrid w:val="0"/>
        <w:spacing w:before="180" w:beforeLines="50" w:after="180" w:afterLines="50" w:line="240" w:lineRule="auto"/>
        <w:jc w:val="both"/>
        <w:rPr>
          <w:rFonts w:ascii="Times New Roman" w:hAnsi="Times New Roman" w:eastAsia="宋体"/>
          <w:sz w:val="20"/>
          <w:szCs w:val="20"/>
        </w:rPr>
      </w:pPr>
      <w:r>
        <w:rPr>
          <w:rFonts w:hint="eastAsia" w:ascii="Times" w:hAnsi="Times" w:eastAsia="宋体"/>
          <w:sz w:val="20"/>
          <w:szCs w:val="20"/>
        </w:rPr>
        <w:t>To assist angle calculation, the above agreement was approved. I</w:t>
      </w:r>
      <w:r>
        <w:rPr>
          <w:rFonts w:hint="eastAsia" w:ascii="Times New Roman" w:hAnsi="Times New Roman" w:eastAsia="宋体"/>
          <w:sz w:val="20"/>
          <w:szCs w:val="20"/>
        </w:rPr>
        <w:t xml:space="preserve">f TRP/gNB is aware of its beam pattern information, </w:t>
      </w:r>
      <w:r>
        <w:rPr>
          <w:rFonts w:ascii="Times New Roman" w:hAnsi="Times New Roman" w:eastAsia="宋体"/>
          <w:sz w:val="20"/>
          <w:szCs w:val="20"/>
          <w:lang w:val="en-GB" w:eastAsia="ja-JP"/>
        </w:rPr>
        <w:t>a mapping of angle and beam gains for each of the PRS resources</w:t>
      </w:r>
      <w:r>
        <w:rPr>
          <w:rFonts w:hint="eastAsia" w:ascii="Times New Roman" w:hAnsi="Times New Roman" w:eastAsia="宋体"/>
          <w:sz w:val="20"/>
          <w:szCs w:val="20"/>
        </w:rPr>
        <w:t xml:space="preserve"> can be provided directly to LMF/UE. Our first preference is to support Option 2.2 since the LMF only cares about the relative power between PRS resources in some angles. For example, LMF gets a bunch of DL PRS-RSRPs per TRP, which constructs a RSRP vector (e.g. [RSRP1, RSRP2,</w:t>
      </w:r>
      <w:r>
        <w:rPr>
          <w:rFonts w:ascii="Times New Roman" w:hAnsi="Times New Roman" w:eastAsia="宋体"/>
          <w:sz w:val="20"/>
          <w:szCs w:val="20"/>
        </w:rPr>
        <w:t xml:space="preserve"> </w:t>
      </w:r>
      <w:r>
        <w:rPr>
          <w:rFonts w:hint="eastAsia" w:ascii="Times New Roman" w:hAnsi="Times New Roman" w:eastAsia="宋体"/>
          <w:sz w:val="20"/>
          <w:szCs w:val="20"/>
        </w:rPr>
        <w:t>RSRP3,</w:t>
      </w:r>
      <w:r>
        <w:rPr>
          <w:rFonts w:ascii="Times New Roman" w:hAnsi="Times New Roman" w:eastAsia="宋体"/>
          <w:sz w:val="20"/>
          <w:szCs w:val="20"/>
        </w:rPr>
        <w:t xml:space="preserve"> </w:t>
      </w:r>
      <w:r>
        <w:rPr>
          <w:rFonts w:hint="eastAsia" w:ascii="Times New Roman" w:hAnsi="Times New Roman" w:eastAsia="宋体"/>
          <w:sz w:val="20"/>
          <w:szCs w:val="20"/>
        </w:rPr>
        <w:t>RSRP4]). Then, LMF should compare the RSRP vector with beam gain vector</w:t>
      </w:r>
      <w:r>
        <w:rPr>
          <w:rFonts w:ascii="Times New Roman" w:hAnsi="Times New Roman" w:eastAsia="宋体"/>
          <w:sz w:val="20"/>
          <w:szCs w:val="20"/>
        </w:rPr>
        <w:t xml:space="preserve"> </w:t>
      </w:r>
      <w:r>
        <w:rPr>
          <w:rFonts w:hint="eastAsia" w:ascii="Times New Roman" w:hAnsi="Times New Roman" w:eastAsia="宋体"/>
          <w:sz w:val="20"/>
          <w:szCs w:val="20"/>
        </w:rPr>
        <w:t>(e.g. [G1, G2, G3,</w:t>
      </w:r>
      <w:r>
        <w:rPr>
          <w:rFonts w:ascii="Times New Roman" w:hAnsi="Times New Roman" w:eastAsia="宋体"/>
          <w:sz w:val="20"/>
          <w:szCs w:val="20"/>
        </w:rPr>
        <w:t xml:space="preserve"> </w:t>
      </w:r>
      <w:r>
        <w:rPr>
          <w:rFonts w:hint="eastAsia" w:ascii="Times New Roman" w:hAnsi="Times New Roman" w:eastAsia="宋体"/>
          <w:sz w:val="20"/>
          <w:szCs w:val="20"/>
        </w:rPr>
        <w:t>G4]), which is the relative power between PRS resources for a specific angle. Finally, LMF will find a</w:t>
      </w:r>
      <w:r>
        <w:rPr>
          <w:rFonts w:ascii="Times New Roman" w:hAnsi="Times New Roman" w:eastAsia="宋体"/>
          <w:sz w:val="20"/>
          <w:szCs w:val="20"/>
        </w:rPr>
        <w:t>n</w:t>
      </w:r>
      <w:r>
        <w:rPr>
          <w:rFonts w:hint="eastAsia" w:ascii="Times New Roman" w:hAnsi="Times New Roman" w:eastAsia="宋体"/>
          <w:sz w:val="20"/>
          <w:szCs w:val="20"/>
        </w:rPr>
        <w:t xml:space="preserve"> angle whose corresponding beam gain vector is the most relevant to the RSRP vector. However, Option 2.1 requires gNB/TRP to normalize the beam gains per resource per TRP, which is not necessary. According to the discussions in last meeting, majority companies supported Option 2.1 and argued that this option allows more flexibility for gNB/TRP to report different angle ranges for different DL PRS resources. For us, Option 2.1 can also work if the absolute value of peak power for each DL PRS resource should also be reported. However, from network vendor perspective, Option 2.1 requires gNB/TRP to disclose its beam design/shape that is not favourable.</w:t>
      </w:r>
    </w:p>
    <w:p>
      <w:pPr>
        <w:snapToGrid w:val="0"/>
        <w:spacing w:before="180" w:beforeLines="50" w:after="180" w:afterLines="50" w:line="240" w:lineRule="auto"/>
        <w:jc w:val="both"/>
        <w:rPr>
          <w:rFonts w:ascii="Times" w:hAnsi="Times" w:eastAsia="宋体"/>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4</w:t>
      </w:r>
      <w:r>
        <w:rPr>
          <w:rFonts w:hint="eastAsia" w:ascii="Times" w:hAnsi="Times" w:eastAsia="Batang"/>
          <w:b/>
          <w:i/>
          <w:sz w:val="20"/>
          <w:szCs w:val="20"/>
        </w:rPr>
        <w:t>:</w:t>
      </w:r>
      <w:r>
        <w:rPr>
          <w:rFonts w:ascii="Times" w:hAnsi="Times" w:eastAsia="Batang"/>
          <w:i/>
          <w:sz w:val="20"/>
          <w:szCs w:val="20"/>
        </w:rPr>
        <w:t xml:space="preserve"> </w:t>
      </w:r>
      <w:r>
        <w:rPr>
          <w:rFonts w:hint="eastAsia" w:ascii="Times" w:hAnsi="Times" w:eastAsia="Batang"/>
          <w:i/>
          <w:sz w:val="20"/>
          <w:szCs w:val="20"/>
        </w:rPr>
        <w:t>For the beam/antenna information to be optionally provided to the LMF by the g</w:t>
      </w:r>
      <w:r>
        <w:rPr>
          <w:rFonts w:ascii="Times" w:hAnsi="Times" w:eastAsia="Batang"/>
          <w:i/>
          <w:sz w:val="20"/>
          <w:szCs w:val="20"/>
        </w:rPr>
        <w:t>N</w:t>
      </w:r>
      <w:r>
        <w:rPr>
          <w:rFonts w:hint="eastAsia" w:ascii="Times" w:hAnsi="Times" w:eastAsia="Batang"/>
          <w:i/>
          <w:sz w:val="20"/>
          <w:szCs w:val="20"/>
        </w:rPr>
        <w:t>B</w:t>
      </w:r>
      <w:r>
        <w:rPr>
          <w:rFonts w:hint="eastAsia" w:ascii="Times" w:hAnsi="Times" w:eastAsia="宋体"/>
          <w:i/>
          <w:sz w:val="20"/>
          <w:szCs w:val="20"/>
        </w:rPr>
        <w:t>, support Option 2.2,</w:t>
      </w:r>
    </w:p>
    <w:p>
      <w:pPr>
        <w:numPr>
          <w:ilvl w:val="0"/>
          <w:numId w:val="8"/>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 xml:space="preserve">The gNB reports quantized version of the relative </w:t>
      </w:r>
      <w:r>
        <w:rPr>
          <w:rFonts w:ascii="Times" w:hAnsi="Times" w:eastAsia="宋体"/>
          <w:i/>
          <w:sz w:val="20"/>
          <w:szCs w:val="20"/>
        </w:rPr>
        <w:t>p</w:t>
      </w:r>
      <w:r>
        <w:rPr>
          <w:rFonts w:hint="eastAsia" w:ascii="Times" w:hAnsi="Times" w:eastAsia="宋体"/>
          <w:i/>
          <w:sz w:val="20"/>
          <w:szCs w:val="20"/>
        </w:rPr>
        <w:t>ower between PRS resources per angle per TRP.</w:t>
      </w:r>
    </w:p>
    <w:p>
      <w:pPr>
        <w:numPr>
          <w:ilvl w:val="0"/>
          <w:numId w:val="9"/>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The relative power is defined with respect to the peak power in each angle</w:t>
      </w:r>
    </w:p>
    <w:p>
      <w:pPr>
        <w:numPr>
          <w:ilvl w:val="0"/>
          <w:numId w:val="9"/>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For each angle, at least two PRS resources are reported.</w:t>
      </w:r>
    </w:p>
    <w:p>
      <w:pPr>
        <w:snapToGrid w:val="0"/>
        <w:spacing w:before="180" w:beforeLines="50" w:after="180" w:afterLines="50" w:line="240" w:lineRule="auto"/>
        <w:jc w:val="both"/>
        <w:rPr>
          <w:rFonts w:ascii="Times" w:hAnsi="Times" w:eastAsia="宋体"/>
          <w:sz w:val="20"/>
          <w:szCs w:val="20"/>
        </w:rPr>
      </w:pPr>
      <w:r>
        <w:rPr>
          <w:rFonts w:hint="eastAsia" w:ascii="Times" w:hAnsi="Times" w:eastAsia="宋体"/>
          <w:sz w:val="20"/>
          <w:szCs w:val="20"/>
        </w:rPr>
        <w:t>P</w:t>
      </w:r>
      <w:r>
        <w:rPr>
          <w:rFonts w:ascii="Times" w:hAnsi="Times" w:eastAsia="Batang"/>
          <w:sz w:val="20"/>
          <w:szCs w:val="20"/>
        </w:rPr>
        <w:t xml:space="preserve">roviding </w:t>
      </w:r>
      <w:r>
        <w:rPr>
          <w:rFonts w:ascii="Times" w:hAnsi="Times" w:eastAsia="宋体"/>
          <w:sz w:val="20"/>
          <w:szCs w:val="20"/>
        </w:rPr>
        <w:t>angle and gain table</w:t>
      </w:r>
      <w:r>
        <w:rPr>
          <w:rFonts w:ascii="Times" w:hAnsi="Times" w:eastAsia="Batang"/>
          <w:sz w:val="20"/>
          <w:szCs w:val="20"/>
        </w:rPr>
        <w:t xml:space="preserve"> for </w:t>
      </w:r>
      <w:r>
        <w:rPr>
          <w:rFonts w:ascii="Times" w:hAnsi="Times" w:eastAsia="宋体"/>
          <w:sz w:val="20"/>
          <w:szCs w:val="20"/>
        </w:rPr>
        <w:t xml:space="preserve">all </w:t>
      </w:r>
      <w:r>
        <w:rPr>
          <w:rFonts w:ascii="Times" w:hAnsi="Times" w:eastAsia="Batang"/>
          <w:sz w:val="20"/>
          <w:szCs w:val="20"/>
        </w:rPr>
        <w:t>DL PRS resource</w:t>
      </w:r>
      <w:r>
        <w:rPr>
          <w:rFonts w:ascii="Times" w:hAnsi="Times" w:eastAsia="宋体"/>
          <w:sz w:val="20"/>
          <w:szCs w:val="20"/>
        </w:rPr>
        <w:t>s</w:t>
      </w:r>
      <w:r>
        <w:rPr>
          <w:rFonts w:ascii="Times" w:hAnsi="Times" w:eastAsia="Batang"/>
          <w:sz w:val="20"/>
          <w:szCs w:val="20"/>
        </w:rPr>
        <w:t xml:space="preserve"> to UE will consume a mass of overhead. </w:t>
      </w:r>
      <w:r>
        <w:rPr>
          <w:rFonts w:ascii="Times" w:hAnsi="Times" w:eastAsia="宋体"/>
          <w:sz w:val="20"/>
          <w:szCs w:val="20"/>
        </w:rPr>
        <w:t>Fortunately,</w:t>
      </w:r>
      <w:r>
        <w:rPr>
          <w:rFonts w:ascii="Times" w:hAnsi="Times" w:eastAsia="Batang"/>
          <w:sz w:val="20"/>
          <w:szCs w:val="20"/>
        </w:rPr>
        <w:t xml:space="preserve"> </w:t>
      </w:r>
      <w:r>
        <w:rPr>
          <w:rFonts w:ascii="Times" w:hAnsi="Times" w:eastAsia="宋体"/>
          <w:sz w:val="20"/>
          <w:szCs w:val="20"/>
        </w:rPr>
        <w:t>a</w:t>
      </w:r>
      <w:r>
        <w:rPr>
          <w:rFonts w:ascii="Times" w:hAnsi="Times" w:eastAsia="Batang"/>
          <w:sz w:val="20"/>
          <w:szCs w:val="20"/>
        </w:rPr>
        <w:t xml:space="preserve">s discussed in section 3, the expected DL-AoD/ZoD value and uncertainty (of the expected DL-AoD/ZoD value) range(s) may be introduced for DL-AOD measurement, which means UE is not necessary to measure reference signals outside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Therefore, </w:t>
      </w:r>
      <w:r>
        <w:rPr>
          <w:rFonts w:ascii="Times" w:hAnsi="Times" w:eastAsia="宋体"/>
          <w:sz w:val="20"/>
          <w:szCs w:val="20"/>
        </w:rPr>
        <w:t>angle and gain table</w:t>
      </w:r>
      <w:r>
        <w:rPr>
          <w:rFonts w:ascii="Times" w:hAnsi="Times" w:eastAsia="Batang"/>
          <w:sz w:val="20"/>
          <w:szCs w:val="20"/>
        </w:rPr>
        <w:t xml:space="preserve"> for DL PRS resource</w:t>
      </w:r>
      <w:r>
        <w:rPr>
          <w:rFonts w:ascii="Times" w:hAnsi="Times" w:eastAsia="宋体"/>
          <w:sz w:val="20"/>
          <w:szCs w:val="20"/>
        </w:rPr>
        <w:t xml:space="preserve">s </w:t>
      </w:r>
      <w:r>
        <w:rPr>
          <w:rFonts w:ascii="Times" w:hAnsi="Times" w:eastAsia="Batang"/>
          <w:sz w:val="20"/>
          <w:szCs w:val="20"/>
        </w:rPr>
        <w:t xml:space="preserve">can also be restricted to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provided by the expected DL-AoD/ZoD value and uncertainty (of the expected DL-AoD/ZoD value) range(s), which will significantly reduce </w:t>
      </w:r>
      <w:r>
        <w:rPr>
          <w:rFonts w:ascii="Times" w:hAnsi="Times" w:eastAsia="宋体"/>
          <w:sz w:val="20"/>
          <w:szCs w:val="20"/>
        </w:rPr>
        <w:t xml:space="preserve">the </w:t>
      </w:r>
      <w:r>
        <w:rPr>
          <w:rFonts w:ascii="Times" w:hAnsi="Times" w:eastAsia="Batang"/>
          <w:sz w:val="20"/>
          <w:szCs w:val="20"/>
        </w:rPr>
        <w:t xml:space="preserve">overhead. </w:t>
      </w:r>
      <w:r>
        <w:rPr>
          <w:rFonts w:hint="eastAsia" w:ascii="Times" w:hAnsi="Times" w:eastAsia="宋体"/>
          <w:sz w:val="20"/>
          <w:szCs w:val="20"/>
        </w:rPr>
        <w:t>As for the beam information provided by gNB to LMF, which is not sensitive to the overhead.</w:t>
      </w:r>
    </w:p>
    <w:p>
      <w:pPr>
        <w:snapToGrid w:val="0"/>
        <w:spacing w:before="180" w:beforeLines="50" w:after="180" w:afterLines="50" w:line="240" w:lineRule="auto"/>
        <w:jc w:val="both"/>
        <w:rPr>
          <w:rFonts w:ascii="Times New Roman" w:hAnsi="Times New Roman" w:eastAsia="Batang"/>
          <w:i/>
          <w:sz w:val="20"/>
          <w:szCs w:val="20"/>
        </w:rPr>
      </w:pPr>
      <w:r>
        <w:rPr>
          <w:rFonts w:ascii="Times New Roman" w:hAnsi="Times New Roman" w:eastAsia="Batang"/>
          <w:b/>
          <w:bCs/>
          <w:i/>
          <w:sz w:val="20"/>
          <w:szCs w:val="20"/>
        </w:rPr>
        <w:t>Proposal 5</w:t>
      </w:r>
      <w:r>
        <w:rPr>
          <w:rFonts w:ascii="Times New Roman" w:hAnsi="Times New Roman" w:eastAsia="Batang"/>
          <w:i/>
          <w:sz w:val="20"/>
          <w:szCs w:val="20"/>
        </w:rPr>
        <w:t>: R</w:t>
      </w:r>
      <w:r>
        <w:rPr>
          <w:rFonts w:ascii="Times New Roman" w:hAnsi="Times New Roman" w:eastAsia="Batang"/>
          <w:i/>
          <w:sz w:val="20"/>
          <w:szCs w:val="20"/>
          <w:lang w:eastAsia="ko-KR"/>
        </w:rPr>
        <w:t xml:space="preserve">ange of angles [θ1,θ2] </w:t>
      </w:r>
      <w:r>
        <w:rPr>
          <w:rFonts w:ascii="Times New Roman" w:hAnsi="Times New Roman" w:eastAsia="Batang"/>
          <w:i/>
          <w:sz w:val="20"/>
          <w:szCs w:val="20"/>
        </w:rPr>
        <w:t>are determined by,</w:t>
      </w:r>
    </w:p>
    <w:p>
      <w:pPr>
        <w:numPr>
          <w:ilvl w:val="0"/>
          <w:numId w:val="9"/>
        </w:numPr>
        <w:snapToGrid w:val="0"/>
        <w:spacing w:before="180" w:beforeLines="50" w:after="180" w:afterLines="50" w:line="240" w:lineRule="auto"/>
        <w:jc w:val="both"/>
        <w:rPr>
          <w:rFonts w:ascii="Times New Roman" w:hAnsi="Times New Roman" w:eastAsia="等线"/>
          <w:b/>
          <w:bCs/>
          <w:szCs w:val="20"/>
        </w:rPr>
      </w:pPr>
      <w:r>
        <w:rPr>
          <w:rFonts w:ascii="Times New Roman" w:hAnsi="Times New Roman" w:eastAsia="宋体"/>
          <w:i/>
          <w:sz w:val="20"/>
          <w:szCs w:val="20"/>
        </w:rPr>
        <w:t>For beam information provided by gNB/TRP to LMF, the r</w:t>
      </w:r>
      <w:r>
        <w:rPr>
          <w:rFonts w:ascii="Times New Roman" w:hAnsi="Times New Roman" w:eastAsia="宋体"/>
          <w:i/>
          <w:sz w:val="20"/>
          <w:szCs w:val="20"/>
          <w:lang w:eastAsia="ko-KR"/>
        </w:rPr>
        <w:t xml:space="preserve">ange of angles </w:t>
      </w:r>
      <w:r>
        <w:rPr>
          <w:rFonts w:ascii="Times New Roman" w:hAnsi="Times New Roman" w:eastAsia="Batang"/>
          <w:i/>
          <w:sz w:val="20"/>
          <w:szCs w:val="20"/>
          <w:lang w:eastAsia="ko-KR"/>
        </w:rPr>
        <w:t>[θ1,θ2]</w:t>
      </w:r>
      <w:r>
        <w:rPr>
          <w:rFonts w:ascii="Times New Roman" w:hAnsi="Times New Roman" w:eastAsia="宋体"/>
          <w:i/>
          <w:sz w:val="20"/>
          <w:szCs w:val="20"/>
          <w:lang w:eastAsia="ko-KR"/>
        </w:rPr>
        <w:t xml:space="preserve"> </w:t>
      </w:r>
      <w:r>
        <w:rPr>
          <w:rFonts w:ascii="Times New Roman" w:hAnsi="Times New Roman" w:eastAsia="宋体"/>
          <w:i/>
          <w:sz w:val="20"/>
          <w:szCs w:val="20"/>
        </w:rPr>
        <w:t>can either decided by gNB/TRP or requested by LMF</w:t>
      </w:r>
    </w:p>
    <w:p>
      <w:pPr>
        <w:numPr>
          <w:ilvl w:val="0"/>
          <w:numId w:val="9"/>
        </w:numPr>
        <w:snapToGrid w:val="0"/>
        <w:spacing w:before="180" w:beforeLines="50" w:after="180" w:afterLines="50" w:line="240" w:lineRule="auto"/>
        <w:jc w:val="both"/>
        <w:rPr>
          <w:rFonts w:ascii="Times" w:hAnsi="Times" w:eastAsia="Batang"/>
          <w:sz w:val="20"/>
          <w:szCs w:val="20"/>
        </w:rPr>
      </w:pPr>
      <w:r>
        <w:rPr>
          <w:rFonts w:ascii="Times New Roman" w:hAnsi="Times New Roman" w:eastAsia="宋体"/>
          <w:i/>
          <w:sz w:val="20"/>
          <w:szCs w:val="20"/>
        </w:rPr>
        <w:t xml:space="preserve">For beam information provided by LMF to UE </w:t>
      </w:r>
      <w:r>
        <w:rPr>
          <w:rFonts w:hint="eastAsia" w:ascii="Times New Roman" w:hAnsi="Times New Roman" w:eastAsia="宋体"/>
          <w:i/>
          <w:sz w:val="20"/>
          <w:szCs w:val="20"/>
        </w:rPr>
        <w:t>(</w:t>
      </w:r>
      <w:r>
        <w:rPr>
          <w:rFonts w:ascii="Times New Roman" w:hAnsi="Times New Roman" w:eastAsia="宋体"/>
          <w:i/>
          <w:sz w:val="20"/>
          <w:szCs w:val="20"/>
        </w:rPr>
        <w:t>at least for UE based positioning</w:t>
      </w:r>
      <w:r>
        <w:rPr>
          <w:rFonts w:hint="eastAsia" w:ascii="Times New Roman" w:hAnsi="Times New Roman" w:eastAsia="宋体"/>
          <w:i/>
          <w:sz w:val="20"/>
          <w:szCs w:val="20"/>
        </w:rPr>
        <w:t>)</w:t>
      </w:r>
      <w:r>
        <w:rPr>
          <w:rFonts w:ascii="Times New Roman" w:hAnsi="Times New Roman" w:eastAsia="宋体"/>
          <w:i/>
          <w:sz w:val="20"/>
          <w:szCs w:val="20"/>
        </w:rPr>
        <w:t>, the r</w:t>
      </w:r>
      <w:r>
        <w:rPr>
          <w:rFonts w:ascii="Times New Roman" w:hAnsi="Times New Roman" w:eastAsia="宋体"/>
          <w:i/>
          <w:sz w:val="20"/>
          <w:szCs w:val="20"/>
          <w:lang w:eastAsia="ko-KR"/>
        </w:rPr>
        <w:t>ange of angles</w:t>
      </w:r>
      <w:r>
        <w:rPr>
          <w:rFonts w:ascii="Times New Roman" w:hAnsi="Times New Roman" w:eastAsia="Batang"/>
          <w:i/>
          <w:sz w:val="20"/>
          <w:szCs w:val="20"/>
          <w:lang w:eastAsia="ko-KR"/>
        </w:rPr>
        <w:t xml:space="preserve"> [θ1,θ2] </w:t>
      </w:r>
      <w:r>
        <w:rPr>
          <w:rFonts w:ascii="Times New Roman" w:hAnsi="Times New Roman" w:eastAsia="宋体"/>
          <w:i/>
          <w:sz w:val="20"/>
          <w:szCs w:val="20"/>
        </w:rPr>
        <w:t xml:space="preserve">can be implicitly indicated by </w:t>
      </w:r>
      <w:r>
        <w:rPr>
          <w:rFonts w:ascii="Times New Roman" w:hAnsi="Times New Roman" w:eastAsia="宋体"/>
          <w:i/>
          <w:sz w:val="20"/>
          <w:szCs w:val="20"/>
          <w:lang w:eastAsia="ko-KR"/>
        </w:rPr>
        <w:t xml:space="preserve">AoD uncertainty window as default for </w:t>
      </w:r>
      <w:r>
        <w:rPr>
          <w:rFonts w:ascii="Times New Roman" w:hAnsi="Times New Roman" w:eastAsia="Batang"/>
          <w:i/>
          <w:sz w:val="20"/>
          <w:szCs w:val="20"/>
          <w:lang w:eastAsia="ko-KR"/>
        </w:rPr>
        <w:t xml:space="preserve">[θ1,θ2] </w:t>
      </w:r>
      <w:r>
        <w:rPr>
          <w:rFonts w:ascii="Times New Roman" w:hAnsi="Times New Roman" w:eastAsia="宋体"/>
          <w:i/>
          <w:sz w:val="20"/>
          <w:szCs w:val="20"/>
          <w:lang w:eastAsia="ko-KR"/>
        </w:rPr>
        <w:t xml:space="preserve">if the range is not configured and the uncertainty window is available. </w:t>
      </w:r>
    </w:p>
    <w:p>
      <w:pPr>
        <w:pStyle w:val="2"/>
        <w:rPr>
          <w:lang w:val="en-US"/>
        </w:rPr>
      </w:pPr>
      <w:r>
        <w:rPr>
          <w:rFonts w:hint="eastAsia"/>
          <w:lang w:val="en-US"/>
        </w:rPr>
        <w:t>Issue#4: Enhancement on DL PRS Rx beam index</w:t>
      </w:r>
      <w:r>
        <w:rPr>
          <w:lang w:val="en-US"/>
        </w:rPr>
        <w:t xml:space="preserve"> </w:t>
      </w:r>
    </w:p>
    <w:p>
      <w:pPr>
        <w:snapToGrid w:val="0"/>
        <w:spacing w:before="180" w:beforeLines="50" w:after="180" w:afterLines="50" w:line="240" w:lineRule="auto"/>
        <w:jc w:val="both"/>
        <w:rPr>
          <w:rFonts w:ascii="Times" w:hAnsi="Times" w:eastAsia="宋体"/>
          <w:iCs/>
          <w:sz w:val="20"/>
          <w:szCs w:val="20"/>
        </w:rPr>
      </w:pPr>
      <w:r>
        <w:rPr>
          <w:rFonts w:hint="eastAsia" w:ascii="Times" w:hAnsi="Times" w:eastAsia="Batang"/>
          <w:iCs/>
          <w:sz w:val="20"/>
          <w:szCs w:val="20"/>
        </w:rPr>
        <w:t>In current NR DL-AoD positioning method, when the UE reports DL PRS-RSRP measurements from one DL PRS resource set, the UE may indicate which DL PRS-RSRP measurement</w:t>
      </w:r>
      <w:r>
        <w:rPr>
          <w:rFonts w:hint="eastAsia" w:ascii="Times" w:hAnsi="Times" w:eastAsia="宋体"/>
          <w:iCs/>
          <w:sz w:val="20"/>
          <w:szCs w:val="20"/>
        </w:rPr>
        <w:t>s</w:t>
      </w:r>
      <w:r>
        <w:rPr>
          <w:rFonts w:hint="eastAsia" w:ascii="Times" w:hAnsi="Times" w:eastAsia="Batang"/>
          <w:iCs/>
          <w:sz w:val="20"/>
          <w:szCs w:val="20"/>
        </w:rPr>
        <w:t xml:space="preserve"> associated with the same DL PRS Rx beam index have been performed using the same spatial domain filter for reception. </w:t>
      </w:r>
      <w:r>
        <w:rPr>
          <w:rFonts w:hint="eastAsia" w:ascii="Times" w:hAnsi="Times" w:eastAsia="宋体"/>
          <w:iCs/>
          <w:sz w:val="20"/>
          <w:szCs w:val="20"/>
        </w:rPr>
        <w:t>However, as cited texts from TS 38.214 in the following table, t</w:t>
      </w:r>
      <w:r>
        <w:rPr>
          <w:rFonts w:hint="eastAsia" w:ascii="Times" w:hAnsi="Times" w:eastAsia="Batang"/>
          <w:iCs/>
          <w:sz w:val="20"/>
          <w:szCs w:val="20"/>
        </w:rPr>
        <w:t>his mechanism only restricts to DL PRS-RSRP measurements from the same DL PRS resource set</w:t>
      </w:r>
      <w:r>
        <w:rPr>
          <w:rFonts w:hint="eastAsia" w:ascii="Times" w:hAnsi="Times" w:eastAsia="宋体"/>
          <w:iCs/>
          <w:sz w:val="20"/>
          <w:szCs w:val="20"/>
        </w:rPr>
        <w:t xml:space="preserve">. For example, </w:t>
      </w:r>
      <w:r>
        <w:rPr>
          <w:rFonts w:hint="eastAsia" w:ascii="Times" w:hAnsi="Times" w:eastAsia="Batang"/>
          <w:iCs/>
          <w:sz w:val="20"/>
          <w:szCs w:val="20"/>
        </w:rPr>
        <w:t>LMF</w:t>
      </w:r>
      <w:r>
        <w:rPr>
          <w:rFonts w:hint="eastAsia" w:ascii="Times" w:hAnsi="Times" w:eastAsia="宋体"/>
          <w:iCs/>
          <w:sz w:val="20"/>
          <w:szCs w:val="20"/>
        </w:rPr>
        <w:t xml:space="preserve"> </w:t>
      </w:r>
      <w:r>
        <w:rPr>
          <w:rFonts w:hint="eastAsia" w:ascii="Times" w:hAnsi="Times" w:eastAsia="Batang"/>
          <w:iCs/>
          <w:sz w:val="20"/>
          <w:szCs w:val="20"/>
        </w:rPr>
        <w:t xml:space="preserve">would not understand </w:t>
      </w:r>
      <w:r>
        <w:rPr>
          <w:rFonts w:hint="eastAsia" w:ascii="Times" w:hAnsi="Times" w:eastAsia="宋体"/>
          <w:iCs/>
          <w:sz w:val="20"/>
          <w:szCs w:val="20"/>
        </w:rPr>
        <w:t>how to interpret the case</w:t>
      </w:r>
      <w:r>
        <w:rPr>
          <w:rFonts w:hint="eastAsia" w:ascii="Times" w:hAnsi="Times" w:eastAsia="Batang"/>
          <w:iCs/>
          <w:sz w:val="20"/>
          <w:szCs w:val="20"/>
        </w:rPr>
        <w:t xml:space="preserve"> when two DL PRS-RSRP measurements associated with the same DL PRS Rx beam index </w:t>
      </w:r>
      <w:r>
        <w:rPr>
          <w:rFonts w:hint="eastAsia" w:ascii="Times" w:hAnsi="Times" w:eastAsia="宋体"/>
          <w:iCs/>
          <w:sz w:val="20"/>
          <w:szCs w:val="20"/>
        </w:rPr>
        <w:t>are</w:t>
      </w:r>
      <w:r>
        <w:rPr>
          <w:rFonts w:hint="eastAsia" w:ascii="Times" w:hAnsi="Times" w:eastAsia="Batang"/>
          <w:iCs/>
          <w:sz w:val="20"/>
          <w:szCs w:val="20"/>
        </w:rPr>
        <w:t xml:space="preserve"> derived from different DL PRS resource sets. </w:t>
      </w:r>
      <w:r>
        <w:rPr>
          <w:rFonts w:hint="eastAsia" w:ascii="Times" w:hAnsi="Times" w:eastAsia="宋体"/>
          <w:iCs/>
          <w:sz w:val="20"/>
          <w:szCs w:val="20"/>
        </w:rPr>
        <w:t>In this case, LMF can</w:t>
      </w:r>
      <w:r>
        <w:rPr>
          <w:rFonts w:ascii="Times" w:hAnsi="Times" w:eastAsia="宋体"/>
          <w:iCs/>
          <w:sz w:val="20"/>
          <w:szCs w:val="20"/>
        </w:rPr>
        <w:t>’</w:t>
      </w:r>
      <w:r>
        <w:rPr>
          <w:rFonts w:hint="eastAsia" w:ascii="Times" w:hAnsi="Times" w:eastAsia="宋体"/>
          <w:iCs/>
          <w:sz w:val="20"/>
          <w:szCs w:val="20"/>
        </w:rPr>
        <w:t>t assume that the two DL PRS-RSRP measurements are associated with the same</w:t>
      </w:r>
      <w:r>
        <w:rPr>
          <w:rFonts w:hint="eastAsia" w:ascii="Times" w:hAnsi="Times" w:eastAsia="Batang"/>
          <w:iCs/>
          <w:sz w:val="20"/>
          <w:szCs w:val="20"/>
        </w:rPr>
        <w:t xml:space="preserve"> spatial domain filter </w:t>
      </w:r>
      <w:r>
        <w:rPr>
          <w:rFonts w:hint="eastAsia" w:ascii="Times" w:hAnsi="Times" w:eastAsia="宋体"/>
          <w:iCs/>
          <w:sz w:val="20"/>
          <w:szCs w:val="20"/>
        </w:rPr>
        <w:t>for receiving corresponding DL PRS resources.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jc w:val="both"/>
              <w:rPr>
                <w:rFonts w:ascii="Times" w:hAnsi="Times" w:eastAsia="宋体"/>
                <w:b/>
                <w:bCs/>
                <w:iCs/>
                <w:sz w:val="20"/>
                <w:szCs w:val="20"/>
                <w:u w:val="single"/>
              </w:rPr>
            </w:pPr>
            <w:r>
              <w:rPr>
                <w:rFonts w:hint="eastAsia" w:ascii="Times" w:hAnsi="Times" w:eastAsia="宋体"/>
                <w:b/>
                <w:bCs/>
                <w:iCs/>
                <w:sz w:val="20"/>
                <w:szCs w:val="20"/>
                <w:u w:val="single"/>
              </w:rPr>
              <w:t>Clause 5.1.6.5 of TS 38.214:</w:t>
            </w:r>
          </w:p>
          <w:p>
            <w:pPr>
              <w:snapToGrid w:val="0"/>
              <w:spacing w:before="180" w:beforeLines="50" w:after="180" w:afterLines="50" w:line="240" w:lineRule="auto"/>
              <w:jc w:val="both"/>
              <w:rPr>
                <w:sz w:val="28"/>
              </w:rPr>
            </w:pPr>
            <w:r>
              <w:rPr>
                <w:rFonts w:hint="eastAsia" w:ascii="Times" w:hAnsi="Times" w:eastAsia="Batang"/>
                <w:iCs/>
                <w:sz w:val="20"/>
                <w:szCs w:val="20"/>
              </w:rPr>
              <w:t xml:space="preserve">The UE may be configured to measure and report, subject to UE capability, up to 8 DL PRS-RSRP measurements on different DL PRS resources associated with the same dl-PRS-ID. When the UE reports DL PRS-RSRP measurements from </w:t>
            </w:r>
            <w:r>
              <w:rPr>
                <w:rFonts w:hint="eastAsia" w:ascii="Times" w:hAnsi="Times" w:eastAsia="Batang"/>
                <w:b/>
                <w:bCs/>
                <w:iCs/>
                <w:sz w:val="20"/>
                <w:szCs w:val="20"/>
              </w:rPr>
              <w:t>one DL PRS resource set</w:t>
            </w:r>
            <w:r>
              <w:rPr>
                <w:rFonts w:hint="eastAsia" w:ascii="Times" w:hAnsi="Times" w:eastAsia="Batang"/>
                <w:iCs/>
                <w:sz w:val="20"/>
                <w:szCs w:val="20"/>
              </w:rPr>
              <w: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associated with it within the DL PRS resource set.</w:t>
            </w:r>
          </w:p>
        </w:tc>
      </w:tr>
    </w:tbl>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1</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034665" cy="2628265"/>
            <wp:effectExtent l="0" t="0" r="0" b="63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5"/>
                    <a:stretch>
                      <a:fillRect/>
                    </a:stretch>
                  </pic:blipFill>
                  <pic:spPr>
                    <a:xfrm>
                      <a:off x="0" y="0"/>
                      <a:ext cx="3034665" cy="2628265"/>
                    </a:xfrm>
                    <a:prstGeom prst="rect">
                      <a:avLst/>
                    </a:prstGeom>
                  </pic:spPr>
                </pic:pic>
              </a:graphicData>
            </a:graphic>
          </wp:inline>
        </w:drawing>
      </w:r>
    </w:p>
    <w:p>
      <w:pPr>
        <w:spacing w:before="180" w:beforeLines="50" w:after="180" w:afterLines="50" w:line="240" w:lineRule="auto"/>
        <w:jc w:val="center"/>
        <w:rPr>
          <w:rFonts w:ascii="Times" w:hAnsi="Times" w:eastAsia="Batang"/>
          <w:i/>
          <w:sz w:val="20"/>
          <w:szCs w:val="20"/>
        </w:rPr>
      </w:pPr>
      <w:r>
        <w:rPr>
          <w:rFonts w:hint="eastAsia" w:ascii="Times New Roman" w:hAnsi="Times New Roman"/>
          <w:sz w:val="20"/>
          <w:szCs w:val="20"/>
        </w:rPr>
        <w:t>FIG.1 An example of transmitting and receiving DL PRS</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As shown in the </w:t>
      </w:r>
      <w:r>
        <w:rPr>
          <w:rFonts w:hint="eastAsia" w:ascii="Times" w:hAnsi="Times" w:eastAsia="宋体"/>
          <w:iCs/>
          <w:sz w:val="20"/>
          <w:szCs w:val="20"/>
        </w:rPr>
        <w:t>FIG.1</w:t>
      </w:r>
      <w:r>
        <w:rPr>
          <w:rFonts w:hint="eastAsia" w:ascii="Times" w:hAnsi="Times" w:eastAsia="Batang"/>
          <w:iCs/>
          <w:sz w:val="20"/>
          <w:szCs w:val="20"/>
        </w:rPr>
        <w:t>, two DL PRS resource sets transmitted from the same TRP of the same positioning frequency layer can be implemented to jointly estimate DL-AOD, so it</w:t>
      </w:r>
      <w:r>
        <w:rPr>
          <w:rFonts w:ascii="Times" w:hAnsi="Times" w:eastAsia="Batang"/>
          <w:iCs/>
          <w:sz w:val="20"/>
          <w:szCs w:val="20"/>
        </w:rPr>
        <w:t>’</w:t>
      </w:r>
      <w:r>
        <w:rPr>
          <w:rFonts w:hint="eastAsia" w:ascii="Times" w:hAnsi="Times" w:eastAsia="Batang"/>
          <w:iCs/>
          <w:sz w:val="20"/>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Furthermore, in Rel-16, UE can support receiving at most 4 positioning frequency layers per TRP. Normally, DL PRS transmitted from different positioning frequency layers may experience different channel impairments. </w:t>
      </w:r>
      <w:r>
        <w:rPr>
          <w:rFonts w:ascii="Times" w:hAnsi="Times" w:eastAsia="Batang"/>
          <w:iCs/>
          <w:sz w:val="20"/>
          <w:szCs w:val="20"/>
        </w:rPr>
        <w:t>Hence</w:t>
      </w:r>
      <w:r>
        <w:rPr>
          <w:rFonts w:hint="eastAsia" w:ascii="Times" w:hAnsi="Times" w:eastAsia="Batang"/>
          <w:iCs/>
          <w:sz w:val="20"/>
          <w:szCs w:val="20"/>
        </w:rPr>
        <w:t xml:space="preserve"> it</w:t>
      </w:r>
      <w:r>
        <w:rPr>
          <w:rFonts w:ascii="Times" w:hAnsi="Times" w:eastAsia="Batang"/>
          <w:iCs/>
          <w:sz w:val="20"/>
          <w:szCs w:val="20"/>
        </w:rPr>
        <w:t>’</w:t>
      </w:r>
      <w:r>
        <w:rPr>
          <w:rFonts w:hint="eastAsia" w:ascii="Times" w:hAnsi="Times" w:eastAsia="Batang"/>
          <w:iCs/>
          <w:sz w:val="20"/>
          <w:szCs w:val="20"/>
        </w:rPr>
        <w:t xml:space="preserve">s better that Rx beam sweeping and Tx beam sweeping are conducted independently for different positioning frequency layers. However, it could be also possible that the two DL PRS resource sets in </w:t>
      </w:r>
      <w:r>
        <w:rPr>
          <w:rFonts w:hint="eastAsia" w:ascii="Times" w:hAnsi="Times" w:eastAsia="宋体"/>
          <w:iCs/>
          <w:sz w:val="20"/>
          <w:szCs w:val="20"/>
        </w:rPr>
        <w:t>FIG.1</w:t>
      </w:r>
      <w:r>
        <w:rPr>
          <w:rFonts w:hint="eastAsia" w:ascii="Times" w:hAnsi="Times" w:eastAsia="Batang"/>
          <w:iCs/>
          <w:sz w:val="20"/>
          <w:szCs w:val="20"/>
        </w:rPr>
        <w:t xml:space="preserve"> are from two different positioning frequency layers, where the different positioning frequency layers are within the same frequency band and thus share similar channel impairments.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6</w:t>
      </w:r>
      <w:r>
        <w:rPr>
          <w:rFonts w:hint="eastAsia" w:ascii="Times" w:hAnsi="Times" w:eastAsia="Batang"/>
          <w:i/>
          <w:sz w:val="20"/>
          <w:szCs w:val="20"/>
        </w:rPr>
        <w:t>: To extend the application scope of DL PRS Rx beam index, when the UE reports DL PRS-RSRP measurements from DL PRS resource sets associated with the same positioning frequency layer and the same TRP, the UE indicate</w:t>
      </w:r>
      <w:r>
        <w:rPr>
          <w:rFonts w:ascii="Times" w:hAnsi="Times" w:eastAsia="Batang"/>
          <w:i/>
          <w:sz w:val="20"/>
          <w:szCs w:val="20"/>
        </w:rPr>
        <w:t>s</w:t>
      </w:r>
      <w:r>
        <w:rPr>
          <w:rFonts w:hint="eastAsia" w:ascii="Times" w:hAnsi="Times" w:eastAsia="Batang"/>
          <w:i/>
          <w:sz w:val="20"/>
          <w:szCs w:val="20"/>
        </w:rPr>
        <w:t xml:space="preserve"> which DL PRS-RSRP measurements associated with the same higher layer parameter DL PRS Rx beam index have been performed using the same spatial domain filter for reception. </w:t>
      </w:r>
    </w:p>
    <w:p>
      <w:pPr>
        <w:pStyle w:val="2"/>
        <w:rPr>
          <w:lang w:val="en-US"/>
        </w:rPr>
      </w:pPr>
      <w:r>
        <w:rPr>
          <w:rFonts w:hint="eastAsia"/>
          <w:lang w:val="en-US"/>
        </w:rPr>
        <w:t>Issue#5: Two-stage PRS beam sweeping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80" w:beforeLines="50" w:after="180" w:afterLines="50" w:line="240" w:lineRule="auto"/>
              <w:rPr>
                <w:rFonts w:ascii="Times" w:hAnsi="Times" w:eastAsia="Batang"/>
                <w:b/>
                <w:bCs/>
                <w:sz w:val="20"/>
                <w:szCs w:val="24"/>
                <w:u w:val="single"/>
                <w:lang w:val="en-GB" w:eastAsia="en-US"/>
              </w:rPr>
            </w:pPr>
            <w:r>
              <w:rPr>
                <w:rFonts w:ascii="Times" w:hAnsi="Times" w:eastAsia="Batang"/>
                <w:b/>
                <w:bCs/>
                <w:sz w:val="20"/>
                <w:szCs w:val="24"/>
                <w:u w:val="single"/>
                <w:lang w:val="en-GB" w:eastAsia="en-US"/>
              </w:rPr>
              <w:t>Agreement</w:t>
            </w:r>
            <w:r>
              <w:rPr>
                <w:rFonts w:hint="eastAsia" w:ascii="Times" w:hAnsi="Times" w:eastAsia="宋体"/>
                <w:b/>
                <w:bCs/>
                <w:sz w:val="20"/>
                <w:szCs w:val="24"/>
                <w:u w:val="single"/>
              </w:rPr>
              <w:t xml:space="preserve"> in RAN1#105-e</w:t>
            </w:r>
            <w:r>
              <w:rPr>
                <w:rFonts w:ascii="Times" w:hAnsi="Times" w:eastAsia="Batang"/>
                <w:b/>
                <w:bCs/>
                <w:sz w:val="20"/>
                <w:szCs w:val="24"/>
                <w:u w:val="single"/>
                <w:lang w:val="en-GB" w:eastAsia="en-US"/>
              </w:rPr>
              <w:t>:</w:t>
            </w:r>
          </w:p>
          <w:p>
            <w:pPr>
              <w:numPr>
                <w:ilvl w:val="0"/>
                <w:numId w:val="10"/>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For both UE-based and UE-assisted DL methods, at least for two-stage PRS beam sweeping, study further at least the following:</w:t>
            </w:r>
          </w:p>
          <w:p>
            <w:pPr>
              <w:numPr>
                <w:ilvl w:val="1"/>
                <w:numId w:val="10"/>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Enhancements in the association between resources belonging to two DL PRS resource sets of the same TRP</w:t>
            </w:r>
          </w:p>
          <w:p>
            <w:pPr>
              <w:numPr>
                <w:ilvl w:val="0"/>
                <w:numId w:val="10"/>
              </w:numPr>
              <w:spacing w:before="180" w:beforeLines="50" w:after="180" w:afterLines="50" w:line="240" w:lineRule="auto"/>
              <w:rPr>
                <w:rFonts w:ascii="Times" w:hAnsi="Times" w:eastAsia="Batang"/>
                <w:sz w:val="20"/>
                <w:szCs w:val="24"/>
                <w:lang w:val="en-GB" w:eastAsia="en-US"/>
              </w:rPr>
            </w:pPr>
            <w:r>
              <w:rPr>
                <w:rFonts w:ascii="Times" w:hAnsi="Times" w:eastAsia="Batang"/>
                <w:sz w:val="20"/>
                <w:szCs w:val="24"/>
                <w:lang w:val="en-GB" w:eastAsia="en-US"/>
              </w:rPr>
              <w:t xml:space="preserve">Companies are encouraged to evaluate whether other potential enhancements in this subagenda or other subagendas (e.g. additional beam information, on-demand PRS framework) could be used to enable this feature (potentially by implementation). </w:t>
            </w:r>
          </w:p>
          <w:p>
            <w:pPr>
              <w:numPr>
                <w:ilvl w:val="0"/>
                <w:numId w:val="10"/>
              </w:numPr>
              <w:spacing w:before="180" w:beforeLines="50" w:after="180" w:afterLines="50" w:line="240" w:lineRule="auto"/>
            </w:pPr>
            <w:r>
              <w:rPr>
                <w:rFonts w:ascii="Times" w:hAnsi="Times" w:eastAsia="Batang"/>
                <w:sz w:val="20"/>
                <w:szCs w:val="24"/>
                <w:lang w:val="en-GB" w:eastAsia="en-US"/>
              </w:rPr>
              <w:t>Note: Two-stage PRS beam sweeping corresponds to different DL PRS resource sets</w:t>
            </w:r>
          </w:p>
        </w:tc>
      </w:tr>
    </w:tbl>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As shown in above agreement, some companies proposed to use two-stage PRS beam sweeping. However, based on our understanding, this can already be supported by implementation. Currently, one TRP can be configured with up to 2 DL PRS resource sets per positioning frequency layer. We think the first set can be transmitted wide beams and second set can be transmitted with narrow beams. In addition, current spec</w:t>
      </w:r>
      <w:r>
        <w:rPr>
          <w:rFonts w:ascii="Times" w:hAnsi="Times" w:eastAsia="Batang"/>
          <w:iCs/>
          <w:sz w:val="20"/>
          <w:szCs w:val="20"/>
        </w:rPr>
        <w:t>ification</w:t>
      </w:r>
      <w:r>
        <w:rPr>
          <w:rFonts w:hint="eastAsia" w:ascii="Times" w:hAnsi="Times" w:eastAsia="Batang"/>
          <w:iCs/>
          <w:sz w:val="20"/>
          <w:szCs w:val="20"/>
        </w:rPr>
        <w:t xml:space="preserve"> supports the QCL source of one DL PRS resource can be another DL PRS resource from the same TRP. Therefore, multiple DL PRS resources (narrow beams) from </w:t>
      </w:r>
      <w:r>
        <w:rPr>
          <w:rFonts w:ascii="Times" w:hAnsi="Times" w:eastAsia="Batang"/>
          <w:iCs/>
          <w:sz w:val="20"/>
          <w:szCs w:val="20"/>
        </w:rPr>
        <w:t xml:space="preserve">the </w:t>
      </w:r>
      <w:r>
        <w:rPr>
          <w:rFonts w:hint="eastAsia" w:ascii="Times" w:hAnsi="Times" w:eastAsia="Batang"/>
          <w:iCs/>
          <w:sz w:val="20"/>
          <w:szCs w:val="20"/>
        </w:rPr>
        <w:t>second set can use the same QCL source (wide beam) from the first DL PRS resource set. Then, based on the configuration, UE may decide whether to fine-tun</w:t>
      </w:r>
      <w:r>
        <w:rPr>
          <w:rFonts w:ascii="Times" w:hAnsi="Times" w:eastAsia="Batang"/>
          <w:iCs/>
          <w:sz w:val="20"/>
          <w:szCs w:val="20"/>
        </w:rPr>
        <w:t>e</w:t>
      </w:r>
      <w:r>
        <w:rPr>
          <w:rFonts w:hint="eastAsia" w:ascii="Times" w:hAnsi="Times" w:eastAsia="Batang"/>
          <w:iCs/>
          <w:sz w:val="20"/>
          <w:szCs w:val="20"/>
        </w:rPr>
        <w:t xml:space="preserve"> the Rx beam information accordingly.</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Meanwhile, the two-stage beam sweeping has a connection between angle calculation enhancement in section 3</w:t>
      </w:r>
      <w:r>
        <w:rPr>
          <w:rFonts w:ascii="Times" w:hAnsi="Times" w:eastAsia="Batang"/>
          <w:iCs/>
          <w:sz w:val="20"/>
          <w:szCs w:val="20"/>
        </w:rPr>
        <w:t xml:space="preserve"> </w:t>
      </w:r>
      <w:r>
        <w:rPr>
          <w:rFonts w:hint="eastAsia" w:ascii="Times" w:hAnsi="Times" w:eastAsia="Batang"/>
          <w:iCs/>
          <w:sz w:val="20"/>
          <w:szCs w:val="20"/>
        </w:rPr>
        <w:t>(which may provide the beam direction and beam width information) and on-demand PRS (UE/LMF may request preferred beam information) in another agenda item.</w:t>
      </w:r>
      <w:r>
        <w:rPr>
          <w:rFonts w:ascii="Times" w:hAnsi="Times" w:eastAsia="Batang"/>
          <w:iCs/>
          <w:sz w:val="20"/>
          <w:szCs w:val="20"/>
        </w:rPr>
        <w:t xml:space="preserve"> These two enhancements can be used to optimize the implementation of two-stage sweeping, but they are separate discussions. No dedicated enhancement is needed for two-stage beam sweeping. </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Observation </w:t>
      </w:r>
      <w:r>
        <w:rPr>
          <w:rFonts w:hint="eastAsia" w:ascii="Times" w:hAnsi="Times" w:eastAsia="宋体"/>
          <w:b/>
          <w:i/>
          <w:iCs/>
          <w:sz w:val="20"/>
          <w:szCs w:val="20"/>
        </w:rPr>
        <w:t>2</w:t>
      </w:r>
      <w:r>
        <w:rPr>
          <w:rFonts w:hint="eastAsia" w:ascii="Times" w:hAnsi="Times" w:eastAsia="Batang"/>
          <w:b/>
          <w:i/>
          <w:iCs/>
          <w:sz w:val="20"/>
          <w:szCs w:val="20"/>
        </w:rPr>
        <w:t>:</w:t>
      </w:r>
      <w:r>
        <w:rPr>
          <w:rFonts w:hint="eastAsia" w:ascii="Times" w:hAnsi="Times" w:eastAsia="Batang"/>
          <w:i/>
          <w:iCs/>
          <w:sz w:val="20"/>
          <w:szCs w:val="20"/>
        </w:rPr>
        <w:t xml:space="preserve"> Two-stage PRS beam sweeping can </w:t>
      </w:r>
      <w:r>
        <w:rPr>
          <w:rFonts w:ascii="Times" w:hAnsi="Times" w:eastAsia="Batang"/>
          <w:i/>
          <w:iCs/>
          <w:sz w:val="20"/>
          <w:szCs w:val="20"/>
        </w:rPr>
        <w:t>be achieved</w:t>
      </w:r>
      <w:r>
        <w:rPr>
          <w:rFonts w:hint="eastAsia" w:ascii="Times" w:hAnsi="Times" w:eastAsia="Batang"/>
          <w:i/>
          <w:iCs/>
          <w:sz w:val="20"/>
          <w:szCs w:val="20"/>
        </w:rPr>
        <w:t xml:space="preserve"> </w:t>
      </w:r>
      <w:r>
        <w:rPr>
          <w:rFonts w:ascii="Times" w:hAnsi="Times" w:eastAsia="Batang"/>
          <w:i/>
          <w:iCs/>
          <w:sz w:val="20"/>
          <w:szCs w:val="20"/>
        </w:rPr>
        <w:t>by</w:t>
      </w:r>
      <w:r>
        <w:rPr>
          <w:rFonts w:hint="eastAsia" w:ascii="Times" w:hAnsi="Times" w:eastAsia="Batang"/>
          <w:i/>
          <w:iCs/>
          <w:sz w:val="20"/>
          <w:szCs w:val="20"/>
        </w:rPr>
        <w:t xml:space="preserve"> implementation or be covered by other topics (angle calculation enhancement or on-demand PRS).</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Proposal </w:t>
      </w:r>
      <w:r>
        <w:rPr>
          <w:rFonts w:hint="eastAsia" w:ascii="Times" w:hAnsi="Times" w:eastAsia="宋体"/>
          <w:b/>
          <w:i/>
          <w:iCs/>
          <w:sz w:val="20"/>
          <w:szCs w:val="20"/>
        </w:rPr>
        <w:t>7</w:t>
      </w:r>
      <w:r>
        <w:rPr>
          <w:rFonts w:hint="eastAsia" w:ascii="Times" w:hAnsi="Times" w:eastAsia="Batang"/>
          <w:b/>
          <w:i/>
          <w:iCs/>
          <w:sz w:val="20"/>
          <w:szCs w:val="20"/>
        </w:rPr>
        <w:t>:</w:t>
      </w:r>
      <w:r>
        <w:rPr>
          <w:rFonts w:hint="eastAsia" w:ascii="Times" w:hAnsi="Times" w:eastAsia="Batang"/>
          <w:i/>
          <w:iCs/>
          <w:sz w:val="20"/>
          <w:szCs w:val="20"/>
        </w:rPr>
        <w:t xml:space="preserve"> Don</w:t>
      </w:r>
      <w:r>
        <w:rPr>
          <w:rFonts w:ascii="Times" w:hAnsi="Times" w:eastAsia="Batang"/>
          <w:i/>
          <w:iCs/>
          <w:sz w:val="20"/>
          <w:szCs w:val="20"/>
        </w:rPr>
        <w:t>’</w:t>
      </w:r>
      <w:r>
        <w:rPr>
          <w:rFonts w:hint="eastAsia" w:ascii="Times" w:hAnsi="Times" w:eastAsia="Batang"/>
          <w:i/>
          <w:iCs/>
          <w:sz w:val="20"/>
          <w:szCs w:val="20"/>
        </w:rPr>
        <w:t xml:space="preserve">t support or at least </w:t>
      </w:r>
      <w:bookmarkStart w:id="7" w:name="OLE_LINK2"/>
      <w:r>
        <w:rPr>
          <w:rFonts w:hint="eastAsia" w:ascii="Times" w:hAnsi="Times" w:eastAsia="Batang"/>
          <w:i/>
          <w:iCs/>
          <w:sz w:val="20"/>
          <w:szCs w:val="20"/>
        </w:rPr>
        <w:t>deprioritize</w:t>
      </w:r>
      <w:bookmarkEnd w:id="7"/>
      <w:r>
        <w:rPr>
          <w:rFonts w:hint="eastAsia" w:ascii="Times" w:hAnsi="Times" w:eastAsia="Batang"/>
          <w:i/>
          <w:iCs/>
          <w:sz w:val="20"/>
          <w:szCs w:val="20"/>
        </w:rPr>
        <w:t xml:space="preserve"> corresponding enhancements on two-stage PRS beam sweeping.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8" w:name="OLE_LINK10"/>
      <w:bookmarkStart w:id="9" w:name="OLE_LINK11"/>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increase positioning accuracy for DL-AOD</w:t>
      </w:r>
      <w:r>
        <w:rPr>
          <w:rFonts w:ascii="Times New Roman" w:hAnsi="Times New Roman"/>
          <w:sz w:val="20"/>
          <w:szCs w:val="20"/>
        </w:rPr>
        <w:t>, the following observations and proposals are proposed,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of a DL PRS resource is reported relative to the corresponding DL PRS-RSRP at least for first detected path.</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Proposal 2:</w:t>
      </w:r>
      <w:r>
        <w:rPr>
          <w:rFonts w:hint="eastAsia" w:ascii="Times New Roman" w:hAnsi="Times New Roman"/>
          <w:i/>
          <w:iCs/>
          <w:sz w:val="20"/>
          <w:szCs w:val="20"/>
        </w:rPr>
        <w:t xml:space="preserve"> There is no need to have new definition for the</w:t>
      </w:r>
      <w:r>
        <w:rPr>
          <w:rFonts w:hint="eastAsia" w:ascii="Times New Roman" w:hAnsi="Times New Roman" w:eastAsia="宋体"/>
          <w:i/>
          <w:iCs/>
          <w:sz w:val="20"/>
          <w:szCs w:val="20"/>
        </w:rPr>
        <w:t xml:space="preserve"> i</w:t>
      </w:r>
      <w:r>
        <w:rPr>
          <w:rFonts w:hint="eastAsia" w:ascii="Times New Roman" w:hAnsi="Times New Roman" w:eastAsia="宋体"/>
          <w:i/>
          <w:iCs/>
          <w:sz w:val="20"/>
          <w:szCs w:val="20"/>
          <w:vertAlign w:val="superscript"/>
        </w:rPr>
        <w:t xml:space="preserve">th </w:t>
      </w:r>
      <w:r>
        <w:rPr>
          <w:rFonts w:hint="eastAsia" w:ascii="Times New Roman" w:hAnsi="Times New Roman" w:eastAsia="宋体"/>
          <w:i/>
          <w:iCs/>
          <w:sz w:val="20"/>
          <w:szCs w:val="20"/>
        </w:rPr>
        <w:t>path delay since the field descriptions in TS 37.355 have already specified how to report timings of additional paths.</w:t>
      </w:r>
    </w:p>
    <w:p>
      <w:pPr>
        <w:pStyle w:val="96"/>
        <w:snapToGrid w:val="0"/>
        <w:spacing w:before="180" w:beforeLines="50" w:after="180" w:afterLines="50" w:line="240" w:lineRule="auto"/>
        <w:ind w:left="0" w:leftChars="0"/>
        <w:jc w:val="both"/>
        <w:rPr>
          <w:rFonts w:ascii="Times" w:hAnsi="Times" w:eastAsia="宋体"/>
          <w:i/>
          <w:sz w:val="20"/>
        </w:rPr>
      </w:pPr>
      <w:r>
        <w:rPr>
          <w:rFonts w:ascii="Times" w:hAnsi="Times" w:eastAsia="宋体"/>
          <w:b/>
          <w:i/>
          <w:sz w:val="20"/>
        </w:rPr>
        <w:t xml:space="preserve">Proposal </w:t>
      </w:r>
      <w:r>
        <w:rPr>
          <w:rFonts w:hint="eastAsia" w:ascii="Times" w:hAnsi="Times" w:eastAsia="宋体"/>
          <w:b/>
          <w:i/>
          <w:sz w:val="20"/>
        </w:rPr>
        <w:t>3</w:t>
      </w:r>
      <w:r>
        <w:rPr>
          <w:rFonts w:ascii="Times" w:hAnsi="Times" w:eastAsia="宋体"/>
          <w:b/>
          <w:i/>
          <w:sz w:val="20"/>
        </w:rPr>
        <w:t>:</w:t>
      </w:r>
      <w:r>
        <w:rPr>
          <w:rFonts w:hint="eastAsia"/>
          <w:i/>
        </w:rPr>
        <w:t xml:space="preserve"> </w:t>
      </w:r>
      <w:r>
        <w:rPr>
          <w:rFonts w:ascii="Times" w:hAnsi="Times" w:eastAsia="宋体"/>
          <w:i/>
          <w:sz w:val="20"/>
        </w:rPr>
        <w:t>For the purpose of both UE-B and UE-A DL-AoD, support an expected uncertainty window</w:t>
      </w:r>
      <w:r>
        <w:rPr>
          <w:rFonts w:hint="eastAsia" w:ascii="Times" w:hAnsi="Times" w:eastAsia="宋体"/>
          <w:i/>
          <w:sz w:val="20"/>
        </w:rPr>
        <w:t xml:space="preserve"> as assistance data</w:t>
      </w:r>
      <w:r>
        <w:rPr>
          <w:rFonts w:ascii="Times" w:hAnsi="Times" w:eastAsia="宋体"/>
          <w:i/>
          <w:sz w:val="20"/>
        </w:rPr>
        <w:t>,</w:t>
      </w:r>
    </w:p>
    <w:p>
      <w:pPr>
        <w:pStyle w:val="96"/>
        <w:numPr>
          <w:ilvl w:val="0"/>
          <w:numId w:val="4"/>
        </w:numPr>
        <w:snapToGrid w:val="0"/>
        <w:spacing w:before="180" w:beforeLines="50" w:after="180" w:afterLines="50" w:line="240" w:lineRule="auto"/>
        <w:jc w:val="both"/>
        <w:rPr>
          <w:rFonts w:ascii="Times" w:hAnsi="Times" w:eastAsia="宋体"/>
          <w:i/>
          <w:sz w:val="20"/>
        </w:rPr>
      </w:pPr>
      <w:r>
        <w:rPr>
          <w:rFonts w:ascii="Times" w:hAnsi="Times" w:eastAsia="宋体"/>
          <w:i/>
          <w:sz w:val="20"/>
        </w:rPr>
        <w:t>Indication of expected DL-AoD/ZoD value and uncertainty (of the expected DL-AoD/ZoD value) range(s) is signaled by the LMF to the UE</w:t>
      </w:r>
    </w:p>
    <w:p>
      <w:pPr>
        <w:pStyle w:val="96"/>
        <w:numPr>
          <w:ilvl w:val="0"/>
          <w:numId w:val="6"/>
        </w:numPr>
        <w:snapToGrid w:val="0"/>
        <w:spacing w:before="180" w:beforeLines="50" w:after="180" w:afterLines="50" w:line="240" w:lineRule="auto"/>
        <w:jc w:val="both"/>
        <w:rPr>
          <w:rFonts w:ascii="Times" w:hAnsi="Times" w:eastAsia="宋体"/>
          <w:i/>
          <w:sz w:val="20"/>
        </w:rPr>
      </w:pPr>
      <w:r>
        <w:rPr>
          <w:rFonts w:ascii="Times" w:hAnsi="Times" w:eastAsia="宋体"/>
          <w:i/>
          <w:sz w:val="20"/>
        </w:rPr>
        <w:t xml:space="preserve">DL PRS resources transmitted from a </w:t>
      </w:r>
      <w:r>
        <w:rPr>
          <w:rFonts w:hint="eastAsia" w:ascii="Times" w:hAnsi="Times" w:eastAsia="宋体"/>
          <w:i/>
          <w:sz w:val="20"/>
        </w:rPr>
        <w:t>single TRP (or a single ARP if configured)</w:t>
      </w:r>
      <w:r>
        <w:rPr>
          <w:rFonts w:ascii="Times" w:hAnsi="Times" w:eastAsia="宋体"/>
          <w:i/>
          <w:sz w:val="20"/>
        </w:rPr>
        <w:t xml:space="preserve"> are associated with a single value of expected DL-AoD/ZoD and uncertainty (of the expected DL-AoD/ZoD value).</w:t>
      </w:r>
    </w:p>
    <w:p>
      <w:pPr>
        <w:pStyle w:val="96"/>
        <w:numPr>
          <w:ilvl w:val="0"/>
          <w:numId w:val="4"/>
        </w:numPr>
        <w:snapToGrid w:val="0"/>
        <w:spacing w:before="180" w:beforeLines="50" w:after="180" w:afterLines="50" w:line="240" w:lineRule="auto"/>
        <w:jc w:val="both"/>
        <w:rPr>
          <w:rFonts w:ascii="Times" w:hAnsi="Times" w:eastAsia="宋体"/>
          <w:i/>
          <w:sz w:val="20"/>
        </w:rPr>
      </w:pPr>
      <w:r>
        <w:rPr>
          <w:rFonts w:hint="eastAsia" w:ascii="Times" w:hAnsi="Times" w:eastAsia="宋体"/>
          <w:i/>
          <w:sz w:val="20"/>
        </w:rPr>
        <w:t xml:space="preserve">Note: The </w:t>
      </w:r>
      <w:r>
        <w:rPr>
          <w:rFonts w:ascii="Times" w:hAnsi="Times" w:eastAsia="宋体"/>
          <w:i/>
          <w:sz w:val="20"/>
        </w:rPr>
        <w:t>expected uncertainty window</w:t>
      </w:r>
      <w:r>
        <w:rPr>
          <w:rFonts w:hint="eastAsia" w:ascii="Times" w:hAnsi="Times" w:eastAsia="宋体"/>
          <w:i/>
          <w:sz w:val="20"/>
        </w:rPr>
        <w:t xml:space="preserve"> is defined by the LOS direction between a TRP (or a ARP if configured) and a UE.</w:t>
      </w:r>
    </w:p>
    <w:p>
      <w:pPr>
        <w:snapToGrid w:val="0"/>
        <w:spacing w:before="180" w:beforeLines="50" w:after="180" w:afterLines="50" w:line="240" w:lineRule="auto"/>
        <w:jc w:val="both"/>
        <w:rPr>
          <w:rFonts w:ascii="Times" w:hAnsi="Times" w:eastAsia="宋体"/>
          <w:i/>
          <w:sz w:val="20"/>
          <w:szCs w:val="20"/>
        </w:rPr>
      </w:pPr>
      <w:r>
        <w:rPr>
          <w:rFonts w:hint="eastAsia" w:ascii="Times" w:hAnsi="Times" w:eastAsia="Batang"/>
          <w:b/>
          <w:i/>
          <w:sz w:val="20"/>
          <w:szCs w:val="20"/>
        </w:rPr>
        <w:t xml:space="preserve">Proposal </w:t>
      </w:r>
      <w:r>
        <w:rPr>
          <w:rFonts w:hint="eastAsia" w:ascii="Times" w:hAnsi="Times" w:eastAsia="宋体"/>
          <w:b/>
          <w:i/>
          <w:sz w:val="20"/>
          <w:szCs w:val="20"/>
        </w:rPr>
        <w:t>4</w:t>
      </w:r>
      <w:r>
        <w:rPr>
          <w:rFonts w:hint="eastAsia" w:ascii="Times" w:hAnsi="Times" w:eastAsia="Batang"/>
          <w:b/>
          <w:i/>
          <w:sz w:val="20"/>
          <w:szCs w:val="20"/>
        </w:rPr>
        <w:t>:</w:t>
      </w:r>
      <w:r>
        <w:rPr>
          <w:rFonts w:ascii="Times" w:hAnsi="Times" w:eastAsia="Batang"/>
          <w:i/>
          <w:sz w:val="20"/>
          <w:szCs w:val="20"/>
        </w:rPr>
        <w:t xml:space="preserve"> </w:t>
      </w:r>
      <w:r>
        <w:rPr>
          <w:rFonts w:hint="eastAsia" w:ascii="Times" w:hAnsi="Times" w:eastAsia="Batang"/>
          <w:i/>
          <w:sz w:val="20"/>
          <w:szCs w:val="20"/>
        </w:rPr>
        <w:t>For the beam/antenna information to be optionally provided to the LMF by the g</w:t>
      </w:r>
      <w:r>
        <w:rPr>
          <w:rFonts w:ascii="Times" w:hAnsi="Times" w:eastAsia="Batang"/>
          <w:i/>
          <w:sz w:val="20"/>
          <w:szCs w:val="20"/>
        </w:rPr>
        <w:t>N</w:t>
      </w:r>
      <w:r>
        <w:rPr>
          <w:rFonts w:hint="eastAsia" w:ascii="Times" w:hAnsi="Times" w:eastAsia="Batang"/>
          <w:i/>
          <w:sz w:val="20"/>
          <w:szCs w:val="20"/>
        </w:rPr>
        <w:t>B</w:t>
      </w:r>
      <w:r>
        <w:rPr>
          <w:rFonts w:hint="eastAsia" w:ascii="Times" w:hAnsi="Times" w:eastAsia="宋体"/>
          <w:i/>
          <w:sz w:val="20"/>
          <w:szCs w:val="20"/>
        </w:rPr>
        <w:t>, support Option 2.2,</w:t>
      </w:r>
    </w:p>
    <w:p>
      <w:pPr>
        <w:numPr>
          <w:ilvl w:val="0"/>
          <w:numId w:val="8"/>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 xml:space="preserve">The gNB reports quantized version of the relative </w:t>
      </w:r>
      <w:r>
        <w:rPr>
          <w:rFonts w:ascii="Times" w:hAnsi="Times" w:eastAsia="宋体"/>
          <w:i/>
          <w:sz w:val="20"/>
          <w:szCs w:val="20"/>
        </w:rPr>
        <w:t>p</w:t>
      </w:r>
      <w:r>
        <w:rPr>
          <w:rFonts w:hint="eastAsia" w:ascii="Times" w:hAnsi="Times" w:eastAsia="宋体"/>
          <w:i/>
          <w:sz w:val="20"/>
          <w:szCs w:val="20"/>
        </w:rPr>
        <w:t>ower between PRS resources per angle per TRP.</w:t>
      </w:r>
    </w:p>
    <w:p>
      <w:pPr>
        <w:numPr>
          <w:ilvl w:val="0"/>
          <w:numId w:val="9"/>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The relative power is defined with respect to the peak power in each angle</w:t>
      </w:r>
    </w:p>
    <w:p>
      <w:pPr>
        <w:numPr>
          <w:ilvl w:val="0"/>
          <w:numId w:val="9"/>
        </w:numPr>
        <w:snapToGrid w:val="0"/>
        <w:spacing w:before="180" w:beforeLines="50" w:after="180" w:afterLines="50" w:line="240" w:lineRule="auto"/>
        <w:jc w:val="both"/>
        <w:rPr>
          <w:rFonts w:ascii="Times" w:hAnsi="Times" w:eastAsia="宋体"/>
          <w:i/>
          <w:sz w:val="20"/>
          <w:szCs w:val="20"/>
        </w:rPr>
      </w:pPr>
      <w:r>
        <w:rPr>
          <w:rFonts w:hint="eastAsia" w:ascii="Times" w:hAnsi="Times" w:eastAsia="宋体"/>
          <w:i/>
          <w:sz w:val="20"/>
          <w:szCs w:val="20"/>
        </w:rPr>
        <w:t>For each angle, at least two PRS resources are reported.</w:t>
      </w:r>
    </w:p>
    <w:p>
      <w:pPr>
        <w:snapToGrid w:val="0"/>
        <w:spacing w:before="180" w:beforeLines="50" w:after="180" w:afterLines="50" w:line="240" w:lineRule="auto"/>
        <w:jc w:val="both"/>
        <w:rPr>
          <w:rFonts w:ascii="Times New Roman" w:hAnsi="Times New Roman" w:eastAsia="Batang"/>
          <w:i/>
          <w:sz w:val="20"/>
          <w:szCs w:val="20"/>
        </w:rPr>
      </w:pPr>
      <w:r>
        <w:rPr>
          <w:rFonts w:ascii="Times New Roman" w:hAnsi="Times New Roman" w:eastAsia="Batang"/>
          <w:b/>
          <w:bCs/>
          <w:i/>
          <w:sz w:val="20"/>
          <w:szCs w:val="20"/>
        </w:rPr>
        <w:t>Proposal 5</w:t>
      </w:r>
      <w:r>
        <w:rPr>
          <w:rFonts w:ascii="Times New Roman" w:hAnsi="Times New Roman" w:eastAsia="Batang"/>
          <w:i/>
          <w:sz w:val="20"/>
          <w:szCs w:val="20"/>
        </w:rPr>
        <w:t>: R</w:t>
      </w:r>
      <w:r>
        <w:rPr>
          <w:rFonts w:ascii="Times New Roman" w:hAnsi="Times New Roman" w:eastAsia="Batang"/>
          <w:i/>
          <w:sz w:val="20"/>
          <w:szCs w:val="20"/>
          <w:lang w:eastAsia="ko-KR"/>
        </w:rPr>
        <w:t xml:space="preserve">ange of angles [θ1,θ2] </w:t>
      </w:r>
      <w:r>
        <w:rPr>
          <w:rFonts w:ascii="Times New Roman" w:hAnsi="Times New Roman" w:eastAsia="Batang"/>
          <w:i/>
          <w:sz w:val="20"/>
          <w:szCs w:val="20"/>
        </w:rPr>
        <w:t>are determined by,</w:t>
      </w:r>
    </w:p>
    <w:p>
      <w:pPr>
        <w:numPr>
          <w:ilvl w:val="0"/>
          <w:numId w:val="9"/>
        </w:numPr>
        <w:snapToGrid w:val="0"/>
        <w:spacing w:before="180" w:beforeLines="50" w:after="180" w:afterLines="50" w:line="240" w:lineRule="auto"/>
        <w:jc w:val="both"/>
        <w:rPr>
          <w:rFonts w:ascii="Times New Roman" w:hAnsi="Times New Roman" w:eastAsia="等线"/>
          <w:b/>
          <w:bCs/>
          <w:szCs w:val="20"/>
        </w:rPr>
      </w:pPr>
      <w:r>
        <w:rPr>
          <w:rFonts w:ascii="Times New Roman" w:hAnsi="Times New Roman" w:eastAsia="宋体"/>
          <w:i/>
          <w:sz w:val="20"/>
          <w:szCs w:val="20"/>
        </w:rPr>
        <w:t>For beam information provided by gNB/TRP to LMF, the r</w:t>
      </w:r>
      <w:r>
        <w:rPr>
          <w:rFonts w:ascii="Times New Roman" w:hAnsi="Times New Roman" w:eastAsia="宋体"/>
          <w:i/>
          <w:sz w:val="20"/>
          <w:szCs w:val="20"/>
          <w:lang w:eastAsia="ko-KR"/>
        </w:rPr>
        <w:t xml:space="preserve">ange of angles </w:t>
      </w:r>
      <w:r>
        <w:rPr>
          <w:rFonts w:ascii="Times New Roman" w:hAnsi="Times New Roman" w:eastAsia="Batang"/>
          <w:i/>
          <w:sz w:val="20"/>
          <w:szCs w:val="20"/>
          <w:lang w:eastAsia="ko-KR"/>
        </w:rPr>
        <w:t>[θ1,θ2]</w:t>
      </w:r>
      <w:r>
        <w:rPr>
          <w:rFonts w:ascii="Times New Roman" w:hAnsi="Times New Roman" w:eastAsia="宋体"/>
          <w:i/>
          <w:sz w:val="20"/>
          <w:szCs w:val="20"/>
          <w:lang w:eastAsia="ko-KR"/>
        </w:rPr>
        <w:t xml:space="preserve"> </w:t>
      </w:r>
      <w:r>
        <w:rPr>
          <w:rFonts w:ascii="Times New Roman" w:hAnsi="Times New Roman" w:eastAsia="宋体"/>
          <w:i/>
          <w:sz w:val="20"/>
          <w:szCs w:val="20"/>
        </w:rPr>
        <w:t>can either decided by gNB/TRP or requested by LMF</w:t>
      </w:r>
    </w:p>
    <w:p>
      <w:pPr>
        <w:numPr>
          <w:ilvl w:val="0"/>
          <w:numId w:val="9"/>
        </w:numPr>
        <w:snapToGrid w:val="0"/>
        <w:spacing w:before="180" w:beforeLines="50" w:after="180" w:afterLines="50" w:line="240" w:lineRule="auto"/>
        <w:jc w:val="both"/>
        <w:rPr>
          <w:rFonts w:ascii="Times" w:hAnsi="Times" w:eastAsia="Batang"/>
          <w:sz w:val="20"/>
          <w:szCs w:val="20"/>
        </w:rPr>
      </w:pPr>
      <w:r>
        <w:rPr>
          <w:rFonts w:ascii="Times New Roman" w:hAnsi="Times New Roman" w:eastAsia="宋体"/>
          <w:i/>
          <w:sz w:val="20"/>
          <w:szCs w:val="20"/>
        </w:rPr>
        <w:t xml:space="preserve">For beam information provided by LMF to UE </w:t>
      </w:r>
      <w:r>
        <w:rPr>
          <w:rFonts w:hint="eastAsia" w:ascii="Times New Roman" w:hAnsi="Times New Roman" w:eastAsia="宋体"/>
          <w:i/>
          <w:sz w:val="20"/>
          <w:szCs w:val="20"/>
        </w:rPr>
        <w:t>(</w:t>
      </w:r>
      <w:r>
        <w:rPr>
          <w:rFonts w:ascii="Times New Roman" w:hAnsi="Times New Roman" w:eastAsia="宋体"/>
          <w:i/>
          <w:sz w:val="20"/>
          <w:szCs w:val="20"/>
        </w:rPr>
        <w:t>at least for UE based positioning</w:t>
      </w:r>
      <w:r>
        <w:rPr>
          <w:rFonts w:hint="eastAsia" w:ascii="Times New Roman" w:hAnsi="Times New Roman" w:eastAsia="宋体"/>
          <w:i/>
          <w:sz w:val="20"/>
          <w:szCs w:val="20"/>
        </w:rPr>
        <w:t>)</w:t>
      </w:r>
      <w:r>
        <w:rPr>
          <w:rFonts w:ascii="Times New Roman" w:hAnsi="Times New Roman" w:eastAsia="宋体"/>
          <w:i/>
          <w:sz w:val="20"/>
          <w:szCs w:val="20"/>
        </w:rPr>
        <w:t>, the r</w:t>
      </w:r>
      <w:r>
        <w:rPr>
          <w:rFonts w:ascii="Times New Roman" w:hAnsi="Times New Roman" w:eastAsia="宋体"/>
          <w:i/>
          <w:sz w:val="20"/>
          <w:szCs w:val="20"/>
          <w:lang w:eastAsia="ko-KR"/>
        </w:rPr>
        <w:t>ange of angles</w:t>
      </w:r>
      <w:r>
        <w:rPr>
          <w:rFonts w:ascii="Times New Roman" w:hAnsi="Times New Roman" w:eastAsia="Batang"/>
          <w:i/>
          <w:sz w:val="20"/>
          <w:szCs w:val="20"/>
          <w:lang w:eastAsia="ko-KR"/>
        </w:rPr>
        <w:t xml:space="preserve"> [θ1,θ2] </w:t>
      </w:r>
      <w:r>
        <w:rPr>
          <w:rFonts w:ascii="Times New Roman" w:hAnsi="Times New Roman" w:eastAsia="宋体"/>
          <w:i/>
          <w:sz w:val="20"/>
          <w:szCs w:val="20"/>
        </w:rPr>
        <w:t xml:space="preserve">can be implicitly indicated by </w:t>
      </w:r>
      <w:r>
        <w:rPr>
          <w:rFonts w:ascii="Times New Roman" w:hAnsi="Times New Roman" w:eastAsia="宋体"/>
          <w:i/>
          <w:sz w:val="20"/>
          <w:szCs w:val="20"/>
          <w:lang w:eastAsia="ko-KR"/>
        </w:rPr>
        <w:t xml:space="preserve">AoD uncertainty window as default for </w:t>
      </w:r>
      <w:r>
        <w:rPr>
          <w:rFonts w:ascii="Times New Roman" w:hAnsi="Times New Roman" w:eastAsia="Batang"/>
          <w:i/>
          <w:sz w:val="20"/>
          <w:szCs w:val="20"/>
          <w:lang w:eastAsia="ko-KR"/>
        </w:rPr>
        <w:t xml:space="preserve">[θ1,θ2] </w:t>
      </w:r>
      <w:r>
        <w:rPr>
          <w:rFonts w:ascii="Times New Roman" w:hAnsi="Times New Roman" w:eastAsia="宋体"/>
          <w:i/>
          <w:sz w:val="20"/>
          <w:szCs w:val="20"/>
          <w:lang w:eastAsia="ko-KR"/>
        </w:rPr>
        <w:t xml:space="preserve">if the range is not configured and the uncertainty window is available.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1</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6</w:t>
      </w:r>
      <w:r>
        <w:rPr>
          <w:rFonts w:hint="eastAsia" w:ascii="Times" w:hAnsi="Times" w:eastAsia="Batang"/>
          <w:i/>
          <w:sz w:val="20"/>
          <w:szCs w:val="20"/>
        </w:rPr>
        <w:t>: To extend the application scope of DL PRS Rx beam index, when the UE reports DL PRS-RSRP measurements from DL PRS resource sets associated with the same positioning frequency layer and the same TRP, the UE indicate</w:t>
      </w:r>
      <w:r>
        <w:rPr>
          <w:rFonts w:ascii="Times" w:hAnsi="Times" w:eastAsia="Batang"/>
          <w:i/>
          <w:sz w:val="20"/>
          <w:szCs w:val="20"/>
        </w:rPr>
        <w:t>s</w:t>
      </w:r>
      <w:r>
        <w:rPr>
          <w:rFonts w:hint="eastAsia" w:ascii="Times" w:hAnsi="Times" w:eastAsia="Batang"/>
          <w:i/>
          <w:sz w:val="20"/>
          <w:szCs w:val="20"/>
        </w:rPr>
        <w:t xml:space="preserve"> which DL PRS-RSRP measurements associated with the same higher layer parameter DL PRS Rx beam index have been performed using the same spatial domain filter for reception. </w:t>
      </w:r>
    </w:p>
    <w:p>
      <w:pPr>
        <w:snapToGrid w:val="0"/>
        <w:spacing w:before="180" w:beforeLines="50" w:after="180" w:afterLines="50" w:line="240" w:lineRule="auto"/>
        <w:jc w:val="both"/>
        <w:rPr>
          <w:rFonts w:ascii="Times" w:hAnsi="Times" w:eastAsia="Batang"/>
          <w:i/>
          <w:iCs/>
          <w:sz w:val="20"/>
          <w:szCs w:val="20"/>
        </w:rPr>
      </w:pPr>
      <w:r>
        <w:rPr>
          <w:rFonts w:hint="eastAsia" w:ascii="Times" w:hAnsi="Times" w:eastAsia="Batang"/>
          <w:b/>
          <w:i/>
          <w:iCs/>
          <w:sz w:val="20"/>
          <w:szCs w:val="20"/>
        </w:rPr>
        <w:t xml:space="preserve">Observation </w:t>
      </w:r>
      <w:r>
        <w:rPr>
          <w:rFonts w:hint="eastAsia" w:ascii="Times" w:hAnsi="Times" w:eastAsia="宋体"/>
          <w:b/>
          <w:i/>
          <w:iCs/>
          <w:sz w:val="20"/>
          <w:szCs w:val="20"/>
        </w:rPr>
        <w:t>2</w:t>
      </w:r>
      <w:r>
        <w:rPr>
          <w:rFonts w:hint="eastAsia" w:ascii="Times" w:hAnsi="Times" w:eastAsia="Batang"/>
          <w:b/>
          <w:i/>
          <w:iCs/>
          <w:sz w:val="20"/>
          <w:szCs w:val="20"/>
        </w:rPr>
        <w:t>:</w:t>
      </w:r>
      <w:r>
        <w:rPr>
          <w:rFonts w:hint="eastAsia" w:ascii="Times" w:hAnsi="Times" w:eastAsia="Batang"/>
          <w:i/>
          <w:iCs/>
          <w:sz w:val="20"/>
          <w:szCs w:val="20"/>
        </w:rPr>
        <w:t xml:space="preserve"> Two-stage PRS beam sweeping can </w:t>
      </w:r>
      <w:r>
        <w:rPr>
          <w:rFonts w:ascii="Times" w:hAnsi="Times" w:eastAsia="Batang"/>
          <w:i/>
          <w:iCs/>
          <w:sz w:val="20"/>
          <w:szCs w:val="20"/>
        </w:rPr>
        <w:t>be achieved</w:t>
      </w:r>
      <w:r>
        <w:rPr>
          <w:rFonts w:hint="eastAsia" w:ascii="Times" w:hAnsi="Times" w:eastAsia="Batang"/>
          <w:i/>
          <w:iCs/>
          <w:sz w:val="20"/>
          <w:szCs w:val="20"/>
        </w:rPr>
        <w:t xml:space="preserve"> </w:t>
      </w:r>
      <w:r>
        <w:rPr>
          <w:rFonts w:ascii="Times" w:hAnsi="Times" w:eastAsia="Batang"/>
          <w:i/>
          <w:iCs/>
          <w:sz w:val="20"/>
          <w:szCs w:val="20"/>
        </w:rPr>
        <w:t>by</w:t>
      </w:r>
      <w:r>
        <w:rPr>
          <w:rFonts w:hint="eastAsia" w:ascii="Times" w:hAnsi="Times" w:eastAsia="Batang"/>
          <w:i/>
          <w:iCs/>
          <w:sz w:val="20"/>
          <w:szCs w:val="20"/>
        </w:rPr>
        <w:t xml:space="preserve"> implementation or be covered by other topics (angle calculation enhancement or on-demand PRS).</w:t>
      </w:r>
    </w:p>
    <w:p>
      <w:pPr>
        <w:snapToGrid w:val="0"/>
        <w:spacing w:before="180" w:beforeLines="50" w:after="180" w:afterLines="50" w:line="240" w:lineRule="auto"/>
        <w:jc w:val="both"/>
        <w:rPr>
          <w:rFonts w:ascii="Times New Roman" w:hAnsi="Times New Roman"/>
          <w:sz w:val="20"/>
          <w:szCs w:val="20"/>
        </w:rPr>
      </w:pPr>
      <w:r>
        <w:rPr>
          <w:rFonts w:hint="eastAsia" w:ascii="Times" w:hAnsi="Times" w:eastAsia="Batang"/>
          <w:b/>
          <w:i/>
          <w:iCs/>
          <w:sz w:val="20"/>
          <w:szCs w:val="20"/>
        </w:rPr>
        <w:t xml:space="preserve">Proposal </w:t>
      </w:r>
      <w:r>
        <w:rPr>
          <w:rFonts w:hint="eastAsia" w:ascii="Times" w:hAnsi="Times" w:eastAsia="宋体"/>
          <w:b/>
          <w:i/>
          <w:iCs/>
          <w:sz w:val="20"/>
          <w:szCs w:val="20"/>
        </w:rPr>
        <w:t>7</w:t>
      </w:r>
      <w:r>
        <w:rPr>
          <w:rFonts w:hint="eastAsia" w:ascii="Times" w:hAnsi="Times" w:eastAsia="Batang"/>
          <w:b/>
          <w:i/>
          <w:iCs/>
          <w:sz w:val="20"/>
          <w:szCs w:val="20"/>
        </w:rPr>
        <w:t>:</w:t>
      </w:r>
      <w:r>
        <w:rPr>
          <w:rFonts w:hint="eastAsia" w:ascii="Times" w:hAnsi="Times" w:eastAsia="Batang"/>
          <w:i/>
          <w:iCs/>
          <w:sz w:val="20"/>
          <w:szCs w:val="20"/>
        </w:rPr>
        <w:t xml:space="preserve"> Don</w:t>
      </w:r>
      <w:r>
        <w:rPr>
          <w:rFonts w:ascii="Times" w:hAnsi="Times" w:eastAsia="Batang"/>
          <w:i/>
          <w:iCs/>
          <w:sz w:val="20"/>
          <w:szCs w:val="20"/>
        </w:rPr>
        <w:t>’</w:t>
      </w:r>
      <w:r>
        <w:rPr>
          <w:rFonts w:hint="eastAsia" w:ascii="Times" w:hAnsi="Times" w:eastAsia="Batang"/>
          <w:i/>
          <w:iCs/>
          <w:sz w:val="20"/>
          <w:szCs w:val="20"/>
        </w:rPr>
        <w:t xml:space="preserve">t support or at least deprioritize corresponding enhancements on two-stage PRS beam sweeping. </w:t>
      </w:r>
    </w:p>
    <w:p>
      <w:pPr>
        <w:pStyle w:val="2"/>
        <w:snapToGrid w:val="0"/>
        <w:spacing w:before="180" w:beforeLines="50" w:after="180" w:afterLines="50"/>
        <w:ind w:left="431" w:hanging="431"/>
        <w:rPr>
          <w:sz w:val="28"/>
          <w:lang w:val="en-US"/>
        </w:rPr>
      </w:pPr>
      <w:r>
        <w:rPr>
          <w:sz w:val="28"/>
          <w:lang w:val="en-US"/>
        </w:rPr>
        <w:t>References</w:t>
      </w:r>
    </w:p>
    <w:bookmarkEnd w:id="8"/>
    <w:bookmarkEnd w:id="9"/>
    <w:p>
      <w:pPr>
        <w:pStyle w:val="88"/>
        <w:numPr>
          <w:ilvl w:val="0"/>
          <w:numId w:val="11"/>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11"/>
        </w:numPr>
        <w:snapToGrid w:val="0"/>
        <w:rPr>
          <w:sz w:val="20"/>
          <w:szCs w:val="20"/>
        </w:rPr>
      </w:pPr>
      <w:r>
        <w:rPr>
          <w:rFonts w:hint="eastAsia"/>
          <w:sz w:val="20"/>
          <w:szCs w:val="20"/>
        </w:rPr>
        <w:t>Draft Report of 3GPP TSG RAN WG1 #107-e v0.1.0</w:t>
      </w:r>
    </w:p>
    <w:p>
      <w:pPr>
        <w:pStyle w:val="88"/>
        <w:snapToGrid w:val="0"/>
        <w:rPr>
          <w:sz w:val="20"/>
          <w:szCs w:val="20"/>
        </w:rPr>
      </w:pPr>
    </w:p>
    <w:p>
      <w:pPr>
        <w:pStyle w:val="88"/>
        <w:snapToGrid w:val="0"/>
        <w:rPr>
          <w:sz w:val="20"/>
          <w:szCs w:val="20"/>
        </w:rPr>
      </w:pPr>
    </w:p>
    <w:bookmarkEnd w:id="10"/>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moder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93495D"/>
    <w:multiLevelType w:val="singleLevel"/>
    <w:tmpl w:val="DD93495D"/>
    <w:lvl w:ilvl="0" w:tentative="0">
      <w:start w:val="1"/>
      <w:numFmt w:val="decimal"/>
      <w:suff w:val="space"/>
      <w:lvlText w:val="[%1]"/>
      <w:lvlJc w:val="left"/>
    </w:lvl>
  </w:abstractNum>
  <w:abstractNum w:abstractNumId="1">
    <w:nsid w:val="E03EF02E"/>
    <w:multiLevelType w:val="singleLevel"/>
    <w:tmpl w:val="E03EF02E"/>
    <w:lvl w:ilvl="0" w:tentative="0">
      <w:start w:val="1"/>
      <w:numFmt w:val="bullet"/>
      <w:lvlText w:val="∙"/>
      <w:lvlJc w:val="left"/>
      <w:pPr>
        <w:ind w:left="420" w:hanging="420"/>
      </w:pPr>
      <w:rPr>
        <w:rFonts w:hint="default" w:ascii="Arial" w:hAnsi="Arial" w:cs="Arial"/>
      </w:rPr>
    </w:lvl>
  </w:abstractNum>
  <w:abstractNum w:abstractNumId="2">
    <w:nsid w:val="FC728BE4"/>
    <w:multiLevelType w:val="singleLevel"/>
    <w:tmpl w:val="FC728BE4"/>
    <w:lvl w:ilvl="0" w:tentative="0">
      <w:start w:val="1"/>
      <w:numFmt w:val="bullet"/>
      <w:lvlText w:val="−"/>
      <w:lvlJc w:val="left"/>
      <w:pPr>
        <w:tabs>
          <w:tab w:val="left" w:pos="420"/>
        </w:tabs>
        <w:ind w:left="840" w:hanging="420"/>
      </w:pPr>
      <w:rPr>
        <w:rFonts w:hint="default" w:ascii="Arial" w:hAnsi="Arial" w:cs="Arial"/>
      </w:rPr>
    </w:lvl>
  </w:abstractNum>
  <w:abstractNum w:abstractNumId="3">
    <w:nsid w:val="0F3D1C8B"/>
    <w:multiLevelType w:val="singleLevel"/>
    <w:tmpl w:val="0F3D1C8B"/>
    <w:lvl w:ilvl="0" w:tentative="0">
      <w:start w:val="1"/>
      <w:numFmt w:val="bullet"/>
      <w:lvlText w:val="•"/>
      <w:lvlJc w:val="left"/>
      <w:pPr>
        <w:ind w:left="420" w:hanging="420"/>
      </w:pPr>
      <w:rPr>
        <w:rFonts w:hint="default" w:ascii="BatangChe" w:hAnsi="BatangChe" w:eastAsia="BatangChe" w:cs="BatangChe"/>
      </w:rPr>
    </w:lvl>
  </w:abstractNum>
  <w:abstractNum w:abstractNumId="4">
    <w:nsid w:val="1DCA0304"/>
    <w:multiLevelType w:val="multilevel"/>
    <w:tmpl w:val="1DCA030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29C80CA9"/>
    <w:multiLevelType w:val="multilevel"/>
    <w:tmpl w:val="29C80C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9F32636"/>
    <w:multiLevelType w:val="singleLevel"/>
    <w:tmpl w:val="39F32636"/>
    <w:lvl w:ilvl="0" w:tentative="0">
      <w:start w:val="1"/>
      <w:numFmt w:val="bullet"/>
      <w:lvlText w:val="∙"/>
      <w:lvlJc w:val="left"/>
      <w:pPr>
        <w:ind w:left="420" w:hanging="420"/>
      </w:pPr>
      <w:rPr>
        <w:rFonts w:hint="default" w:ascii="Arial" w:hAnsi="Arial" w:cs="Arial"/>
      </w:rPr>
    </w:lvl>
  </w:abstractNum>
  <w:abstractNum w:abstractNumId="7">
    <w:nsid w:val="3EE228D7"/>
    <w:multiLevelType w:val="multilevel"/>
    <w:tmpl w:val="3EE228D7"/>
    <w:lvl w:ilvl="0" w:tentative="0">
      <w:start w:val="1"/>
      <w:numFmt w:val="bullet"/>
      <w:lvlText w:val=""/>
      <w:lvlJc w:val="left"/>
      <w:pPr>
        <w:ind w:left="927" w:hanging="360"/>
      </w:pPr>
      <w:rPr>
        <w:rFonts w:hint="default" w:ascii="Symbol" w:hAnsi="Symbol" w:cs="Symbol"/>
      </w:rPr>
    </w:lvl>
    <w:lvl w:ilvl="1" w:tentative="0">
      <w:start w:val="1"/>
      <w:numFmt w:val="bullet"/>
      <w:lvlText w:val="o"/>
      <w:lvlJc w:val="left"/>
      <w:pPr>
        <w:ind w:left="567" w:hanging="360"/>
      </w:pPr>
      <w:rPr>
        <w:rFonts w:hint="default" w:ascii="Courier New" w:hAnsi="Courier New" w:cs="Courier New"/>
      </w:rPr>
    </w:lvl>
    <w:lvl w:ilvl="2" w:tentative="0">
      <w:start w:val="1"/>
      <w:numFmt w:val="bullet"/>
      <w:lvlText w:val=""/>
      <w:lvlJc w:val="left"/>
      <w:pPr>
        <w:ind w:left="1287" w:hanging="360"/>
      </w:pPr>
      <w:rPr>
        <w:rFonts w:hint="default" w:ascii="Wingdings" w:hAnsi="Wingdings" w:cs="Wingdings"/>
      </w:rPr>
    </w:lvl>
    <w:lvl w:ilvl="3" w:tentative="0">
      <w:start w:val="1"/>
      <w:numFmt w:val="bullet"/>
      <w:lvlText w:val=""/>
      <w:lvlJc w:val="left"/>
      <w:pPr>
        <w:ind w:left="2007" w:hanging="360"/>
      </w:pPr>
      <w:rPr>
        <w:rFonts w:hint="default" w:ascii="Symbol" w:hAnsi="Symbol" w:cs="Symbol"/>
      </w:rPr>
    </w:lvl>
    <w:lvl w:ilvl="4" w:tentative="0">
      <w:start w:val="1"/>
      <w:numFmt w:val="bullet"/>
      <w:lvlText w:val="o"/>
      <w:lvlJc w:val="left"/>
      <w:pPr>
        <w:ind w:left="2727" w:hanging="360"/>
      </w:pPr>
      <w:rPr>
        <w:rFonts w:hint="default" w:ascii="Courier New" w:hAnsi="Courier New" w:cs="Courier New"/>
      </w:rPr>
    </w:lvl>
    <w:lvl w:ilvl="5" w:tentative="0">
      <w:start w:val="1"/>
      <w:numFmt w:val="bullet"/>
      <w:lvlText w:val=""/>
      <w:lvlJc w:val="left"/>
      <w:pPr>
        <w:ind w:left="3447" w:hanging="360"/>
      </w:pPr>
      <w:rPr>
        <w:rFonts w:hint="default" w:ascii="Wingdings" w:hAnsi="Wingdings" w:cs="Wingdings"/>
      </w:rPr>
    </w:lvl>
    <w:lvl w:ilvl="6" w:tentative="0">
      <w:start w:val="1"/>
      <w:numFmt w:val="bullet"/>
      <w:lvlText w:val=""/>
      <w:lvlJc w:val="left"/>
      <w:pPr>
        <w:ind w:left="4167" w:hanging="360"/>
      </w:pPr>
      <w:rPr>
        <w:rFonts w:hint="default" w:ascii="Symbol" w:hAnsi="Symbol" w:cs="Symbol"/>
      </w:rPr>
    </w:lvl>
    <w:lvl w:ilvl="7" w:tentative="0">
      <w:start w:val="1"/>
      <w:numFmt w:val="bullet"/>
      <w:lvlText w:val="o"/>
      <w:lvlJc w:val="left"/>
      <w:pPr>
        <w:ind w:left="4887" w:hanging="360"/>
      </w:pPr>
      <w:rPr>
        <w:rFonts w:hint="default" w:ascii="Courier New" w:hAnsi="Courier New" w:cs="Courier New"/>
      </w:rPr>
    </w:lvl>
    <w:lvl w:ilvl="8" w:tentative="0">
      <w:start w:val="1"/>
      <w:numFmt w:val="bullet"/>
      <w:lvlText w:val=""/>
      <w:lvlJc w:val="left"/>
      <w:pPr>
        <w:ind w:left="5607" w:hanging="360"/>
      </w:pPr>
      <w:rPr>
        <w:rFonts w:hint="default" w:ascii="Wingdings" w:hAnsi="Wingdings" w:cs="Wingdings"/>
      </w:rPr>
    </w:lvl>
  </w:abstractNum>
  <w:abstractNum w:abstractNumId="8">
    <w:nsid w:val="4EF75A01"/>
    <w:multiLevelType w:val="singleLevel"/>
    <w:tmpl w:val="4EF75A01"/>
    <w:lvl w:ilvl="0" w:tentative="0">
      <w:start w:val="1"/>
      <w:numFmt w:val="bullet"/>
      <w:lvlText w:val="−"/>
      <w:lvlJc w:val="left"/>
      <w:pPr>
        <w:tabs>
          <w:tab w:val="left" w:pos="420"/>
        </w:tabs>
        <w:ind w:left="840" w:hanging="420"/>
      </w:pPr>
      <w:rPr>
        <w:rFonts w:hint="default" w:ascii="Arial" w:hAnsi="Arial" w:cs="Arial"/>
      </w:rPr>
    </w:lvl>
  </w:abstractNum>
  <w:abstractNum w:abstractNumId="9">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0">
    <w:nsid w:val="637A1C30"/>
    <w:multiLevelType w:val="multilevel"/>
    <w:tmpl w:val="637A1C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9"/>
  </w:num>
  <w:num w:numId="2">
    <w:abstractNumId w:val="3"/>
  </w:num>
  <w:num w:numId="3">
    <w:abstractNumId w:val="5"/>
  </w:num>
  <w:num w:numId="4">
    <w:abstractNumId w:val="6"/>
  </w:num>
  <w:num w:numId="5">
    <w:abstractNumId w:val="7"/>
  </w:num>
  <w:num w:numId="6">
    <w:abstractNumId w:val="8"/>
  </w:num>
  <w:num w:numId="7">
    <w:abstractNumId w:val="4"/>
  </w:num>
  <w:num w:numId="8">
    <w:abstractNumId w:val="1"/>
  </w:num>
  <w:num w:numId="9">
    <w:abstractNumId w:val="2"/>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138"/>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44"/>
    <w:rsid w:val="00022B9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D90"/>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6AB"/>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72C"/>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1CFC"/>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0F1"/>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9B"/>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B19"/>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4D9"/>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10"/>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870"/>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799"/>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93A"/>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1B"/>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ADE"/>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D7A42"/>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8A"/>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276"/>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93"/>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15"/>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79C"/>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5F6"/>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9ED"/>
    <w:rsid w:val="00525C0B"/>
    <w:rsid w:val="005265AA"/>
    <w:rsid w:val="005265BE"/>
    <w:rsid w:val="00526ADF"/>
    <w:rsid w:val="00526C75"/>
    <w:rsid w:val="00526D21"/>
    <w:rsid w:val="00526D3E"/>
    <w:rsid w:val="00526EC5"/>
    <w:rsid w:val="00526F20"/>
    <w:rsid w:val="005271CF"/>
    <w:rsid w:val="00527391"/>
    <w:rsid w:val="005273B7"/>
    <w:rsid w:val="00527593"/>
    <w:rsid w:val="00527933"/>
    <w:rsid w:val="005279F6"/>
    <w:rsid w:val="00527A5C"/>
    <w:rsid w:val="00527ADA"/>
    <w:rsid w:val="00527EF8"/>
    <w:rsid w:val="00527F1A"/>
    <w:rsid w:val="00527FC5"/>
    <w:rsid w:val="00530086"/>
    <w:rsid w:val="0053032D"/>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816"/>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9B4"/>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8C"/>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0B4"/>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162"/>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3B3"/>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1B3"/>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24D"/>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2EF"/>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0CF"/>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2F69"/>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795"/>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AA3"/>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BD9"/>
    <w:rsid w:val="008D6D83"/>
    <w:rsid w:val="008D6DB1"/>
    <w:rsid w:val="008D6EEE"/>
    <w:rsid w:val="008D6FDF"/>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0DA4"/>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9A"/>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DA7"/>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955"/>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023"/>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67B"/>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08"/>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2CF"/>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0DC"/>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AA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22"/>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385"/>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4CF"/>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4F30"/>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2935"/>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7C1"/>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F46"/>
    <w:rsid w:val="00D1017C"/>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A9A"/>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515"/>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A77"/>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37C"/>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691"/>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5F20"/>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BDC"/>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6A4"/>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18F"/>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2A5"/>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1D597B"/>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76A76"/>
    <w:rsid w:val="024B3DD6"/>
    <w:rsid w:val="024D3362"/>
    <w:rsid w:val="024E7879"/>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A6D74"/>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6E22FD"/>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AF03C5"/>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883560"/>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D344A"/>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A321A"/>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222BD"/>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15456"/>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8E0AB2"/>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87DF6"/>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535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94436"/>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34F87"/>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6947EE"/>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3185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5DA9"/>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A1BBD"/>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47B1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1D5A0D"/>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C193E"/>
    <w:rsid w:val="1DBF1E64"/>
    <w:rsid w:val="1DC1491C"/>
    <w:rsid w:val="1DC555FD"/>
    <w:rsid w:val="1DC60F0D"/>
    <w:rsid w:val="1DCC31D5"/>
    <w:rsid w:val="1DD16DAA"/>
    <w:rsid w:val="1DD33028"/>
    <w:rsid w:val="1DD60645"/>
    <w:rsid w:val="1DD95E1B"/>
    <w:rsid w:val="1DDF4E46"/>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6D2170"/>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377FC"/>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01CE6"/>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0003C"/>
    <w:rsid w:val="228808E1"/>
    <w:rsid w:val="22882272"/>
    <w:rsid w:val="228F635F"/>
    <w:rsid w:val="228F7972"/>
    <w:rsid w:val="229F2244"/>
    <w:rsid w:val="229F4C1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74036"/>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D0C41"/>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5968"/>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EF6E77"/>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87366"/>
    <w:rsid w:val="2949574D"/>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9730E"/>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3E71F9"/>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B2DDD"/>
    <w:rsid w:val="2ECD0C40"/>
    <w:rsid w:val="2ECF267B"/>
    <w:rsid w:val="2ED26976"/>
    <w:rsid w:val="2ED60271"/>
    <w:rsid w:val="2EDC722F"/>
    <w:rsid w:val="2EDF7E4B"/>
    <w:rsid w:val="2EE04937"/>
    <w:rsid w:val="2EE0645B"/>
    <w:rsid w:val="2EE4485A"/>
    <w:rsid w:val="2EE52A03"/>
    <w:rsid w:val="2EE72F28"/>
    <w:rsid w:val="2EE813DE"/>
    <w:rsid w:val="2EEB1791"/>
    <w:rsid w:val="2EEB7D77"/>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50DA2"/>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B70A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E4FF9"/>
    <w:rsid w:val="322F4A9A"/>
    <w:rsid w:val="32312593"/>
    <w:rsid w:val="32315610"/>
    <w:rsid w:val="323159FD"/>
    <w:rsid w:val="32345AB7"/>
    <w:rsid w:val="323716E7"/>
    <w:rsid w:val="324068E4"/>
    <w:rsid w:val="324252A3"/>
    <w:rsid w:val="324378F4"/>
    <w:rsid w:val="32484AB1"/>
    <w:rsid w:val="32496576"/>
    <w:rsid w:val="324A0310"/>
    <w:rsid w:val="324C6902"/>
    <w:rsid w:val="324E7571"/>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805C3"/>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166DC"/>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721A3"/>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0F8D"/>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15EA9"/>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1CA4"/>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324B"/>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363D8"/>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3FF7D20"/>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1AE5"/>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E4059"/>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A7A2F"/>
    <w:rsid w:val="4A1C1D25"/>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254D4"/>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A3CC2"/>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032A3"/>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B4222"/>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A5D44"/>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6FA3E0A"/>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4A0DC6"/>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62E4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0B65"/>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63270"/>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82249"/>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6E"/>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9399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A3A0B"/>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4B0953"/>
    <w:rsid w:val="605E0EE5"/>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52D90"/>
    <w:rsid w:val="64A74331"/>
    <w:rsid w:val="64AB6B0F"/>
    <w:rsid w:val="64AE0ED1"/>
    <w:rsid w:val="64AE4EA4"/>
    <w:rsid w:val="64B333E7"/>
    <w:rsid w:val="64B70560"/>
    <w:rsid w:val="64B7365E"/>
    <w:rsid w:val="64B81726"/>
    <w:rsid w:val="64B931F8"/>
    <w:rsid w:val="64BA2907"/>
    <w:rsid w:val="64BD76A0"/>
    <w:rsid w:val="64BE7826"/>
    <w:rsid w:val="64C32A6F"/>
    <w:rsid w:val="64C635B7"/>
    <w:rsid w:val="64C70EC1"/>
    <w:rsid w:val="64C91401"/>
    <w:rsid w:val="64CB4B69"/>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372B4"/>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BE6030"/>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A5694"/>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C7211"/>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6355B"/>
    <w:rsid w:val="690716F0"/>
    <w:rsid w:val="69072F35"/>
    <w:rsid w:val="69075094"/>
    <w:rsid w:val="690916D6"/>
    <w:rsid w:val="69093C6E"/>
    <w:rsid w:val="690B0012"/>
    <w:rsid w:val="690C55C1"/>
    <w:rsid w:val="691146C8"/>
    <w:rsid w:val="69153A94"/>
    <w:rsid w:val="69161875"/>
    <w:rsid w:val="691619F4"/>
    <w:rsid w:val="691C4691"/>
    <w:rsid w:val="69202781"/>
    <w:rsid w:val="692238AD"/>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73C3E"/>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5E4BE2"/>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2F3047"/>
    <w:rsid w:val="7430610A"/>
    <w:rsid w:val="743175E8"/>
    <w:rsid w:val="743E46CE"/>
    <w:rsid w:val="74414A8B"/>
    <w:rsid w:val="74475FDB"/>
    <w:rsid w:val="744C7B5C"/>
    <w:rsid w:val="744D1D69"/>
    <w:rsid w:val="744E03F0"/>
    <w:rsid w:val="744E313E"/>
    <w:rsid w:val="74502B4C"/>
    <w:rsid w:val="74507EC5"/>
    <w:rsid w:val="74533EF2"/>
    <w:rsid w:val="74574E09"/>
    <w:rsid w:val="745926DB"/>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2654B"/>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1D519D"/>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2E45"/>
    <w:rsid w:val="78726AFE"/>
    <w:rsid w:val="787A2B56"/>
    <w:rsid w:val="787B1C5A"/>
    <w:rsid w:val="787B626A"/>
    <w:rsid w:val="787F5E67"/>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F499D"/>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4595C"/>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9598C"/>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719517-FEF5-469A-AD71-BC3A22AF3A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2868</Words>
  <Characters>16354</Characters>
  <Lines>136</Lines>
  <Paragraphs>38</Paragraphs>
  <TotalTime>2</TotalTime>
  <ScaleCrop>false</ScaleCrop>
  <LinksUpToDate>false</LinksUpToDate>
  <CharactersWithSpaces>19184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2021-11-05T09:08:41Z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